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DEE" w:rsidRDefault="009E7DEE">
      <w:pPr>
        <w:pStyle w:val="2"/>
        <w:spacing w:line="580" w:lineRule="exact"/>
        <w:ind w:firstLineChars="0" w:firstLine="0"/>
        <w:rPr>
          <w:rFonts w:ascii="仿宋_GB2312" w:eastAsia="仿宋_GB2312"/>
          <w:sz w:val="32"/>
          <w:szCs w:val="32"/>
        </w:rPr>
      </w:pPr>
    </w:p>
    <w:p w:rsidR="009E7DEE" w:rsidRDefault="003B3BC9">
      <w:pPr>
        <w:widowControl/>
        <w:spacing w:line="580" w:lineRule="exact"/>
        <w:jc w:val="center"/>
        <w:rPr>
          <w:rFonts w:ascii="方正小标宋简体" w:eastAsia="方正小标宋简体"/>
          <w:bCs/>
          <w:color w:val="000000"/>
          <w:kern w:val="0"/>
          <w:sz w:val="36"/>
          <w:szCs w:val="36"/>
        </w:rPr>
      </w:pPr>
      <w:r>
        <w:rPr>
          <w:rFonts w:ascii="方正小标宋简体" w:eastAsia="方正小标宋简体" w:hint="eastAsia"/>
          <w:bCs/>
          <w:color w:val="000000"/>
          <w:kern w:val="0"/>
          <w:sz w:val="36"/>
          <w:szCs w:val="36"/>
        </w:rPr>
        <w:t>秦皇岛市旅游和文化广电局</w:t>
      </w:r>
    </w:p>
    <w:p w:rsidR="009E7DEE" w:rsidRDefault="003B3BC9">
      <w:pPr>
        <w:widowControl/>
        <w:spacing w:line="580" w:lineRule="exact"/>
        <w:jc w:val="center"/>
        <w:rPr>
          <w:rFonts w:ascii="方正小标宋简体" w:eastAsia="方正小标宋简体" w:cs="宋体"/>
          <w:bCs/>
          <w:kern w:val="0"/>
          <w:sz w:val="36"/>
          <w:szCs w:val="36"/>
        </w:rPr>
      </w:pPr>
      <w:r>
        <w:rPr>
          <w:rFonts w:ascii="方正小标宋简体" w:eastAsia="方正小标宋简体" w:hint="eastAsia"/>
          <w:bCs/>
          <w:color w:val="000000"/>
          <w:kern w:val="0"/>
          <w:sz w:val="36"/>
          <w:szCs w:val="36"/>
        </w:rPr>
        <w:t>2021</w:t>
      </w:r>
      <w:r>
        <w:rPr>
          <w:rFonts w:ascii="方正小标宋简体" w:eastAsia="方正小标宋简体" w:hint="eastAsia"/>
          <w:bCs/>
          <w:color w:val="000000"/>
          <w:kern w:val="0"/>
          <w:sz w:val="36"/>
          <w:szCs w:val="36"/>
        </w:rPr>
        <w:t>年度部门整体支出</w:t>
      </w:r>
      <w:r>
        <w:rPr>
          <w:rFonts w:ascii="方正小标宋简体" w:eastAsia="方正小标宋简体" w:cs="宋体" w:hint="eastAsia"/>
          <w:bCs/>
          <w:kern w:val="0"/>
          <w:sz w:val="36"/>
          <w:szCs w:val="36"/>
        </w:rPr>
        <w:t>绩效评价报告</w:t>
      </w:r>
    </w:p>
    <w:p w:rsidR="009E7DEE" w:rsidRDefault="009E7DEE">
      <w:pPr>
        <w:widowControl/>
        <w:snapToGrid w:val="0"/>
        <w:spacing w:line="580" w:lineRule="exact"/>
        <w:rPr>
          <w:rFonts w:ascii="仿宋_GB2312" w:eastAsia="仿宋_GB2312" w:cs="宋体"/>
          <w:kern w:val="0"/>
          <w:sz w:val="32"/>
          <w:szCs w:val="32"/>
        </w:rPr>
      </w:pPr>
    </w:p>
    <w:p w:rsidR="009E7DEE" w:rsidRDefault="003B3BC9">
      <w:pPr>
        <w:adjustRightInd w:val="0"/>
        <w:snapToGrid w:val="0"/>
        <w:spacing w:line="580" w:lineRule="exact"/>
        <w:ind w:firstLineChars="200" w:firstLine="640"/>
        <w:rPr>
          <w:rFonts w:ascii="仿宋_GB2312" w:eastAsia="仿宋_GB2312"/>
          <w:sz w:val="32"/>
          <w:szCs w:val="32"/>
        </w:rPr>
      </w:pPr>
      <w:r>
        <w:rPr>
          <w:rFonts w:ascii="仿宋_GB2312" w:eastAsia="仿宋_GB2312" w:cs="仿宋" w:hint="eastAsia"/>
          <w:kern w:val="0"/>
          <w:sz w:val="32"/>
          <w:szCs w:val="32"/>
        </w:rPr>
        <w:t>为大力推进预算绩效管理改革，促进预算部门强化绩效理念，加快建成全方位、全过程、全覆盖的预算绩效管理体系，提高部门整体支出的整体效果和使用效率，持续推动政府效能提高和财政资金效益提升。受秦皇岛市财政局委托，秦皇岛卓越会计师事务所（普通合伙）</w:t>
      </w:r>
      <w:r>
        <w:rPr>
          <w:rFonts w:ascii="仿宋_GB2312" w:eastAsia="仿宋_GB2312" w:cs="仿宋" w:hint="eastAsia"/>
          <w:kern w:val="0"/>
          <w:sz w:val="32"/>
          <w:szCs w:val="32"/>
        </w:rPr>
        <w:t>对</w:t>
      </w:r>
      <w:r>
        <w:rPr>
          <w:rFonts w:ascii="仿宋_GB2312" w:eastAsia="仿宋_GB2312" w:cs="仿宋" w:hint="eastAsia"/>
          <w:kern w:val="0"/>
          <w:sz w:val="32"/>
          <w:szCs w:val="32"/>
        </w:rPr>
        <w:t>秦皇岛市旅游和文化广电局</w:t>
      </w:r>
      <w:r>
        <w:rPr>
          <w:rFonts w:ascii="仿宋_GB2312" w:eastAsia="仿宋_GB2312" w:cs="仿宋" w:hint="eastAsia"/>
          <w:kern w:val="0"/>
          <w:sz w:val="32"/>
          <w:szCs w:val="32"/>
        </w:rPr>
        <w:t>2021</w:t>
      </w:r>
      <w:r>
        <w:rPr>
          <w:rFonts w:ascii="仿宋_GB2312" w:eastAsia="仿宋_GB2312" w:cs="仿宋" w:hint="eastAsia"/>
          <w:kern w:val="0"/>
          <w:sz w:val="32"/>
          <w:szCs w:val="32"/>
        </w:rPr>
        <w:t>年度部门整体支出</w:t>
      </w:r>
      <w:r>
        <w:rPr>
          <w:rFonts w:ascii="仿宋_GB2312" w:eastAsia="仿宋_GB2312" w:cs="仿宋" w:hint="eastAsia"/>
          <w:kern w:val="0"/>
          <w:sz w:val="32"/>
          <w:szCs w:val="32"/>
        </w:rPr>
        <w:t>开展</w:t>
      </w:r>
      <w:r>
        <w:rPr>
          <w:rFonts w:ascii="仿宋_GB2312" w:eastAsia="仿宋_GB2312" w:cs="仿宋" w:hint="eastAsia"/>
          <w:kern w:val="0"/>
          <w:sz w:val="32"/>
          <w:szCs w:val="32"/>
        </w:rPr>
        <w:t>绩效评价工作</w:t>
      </w:r>
      <w:r>
        <w:rPr>
          <w:rFonts w:ascii="仿宋_GB2312" w:eastAsia="仿宋_GB2312" w:cs="仿宋" w:hint="eastAsia"/>
          <w:kern w:val="0"/>
          <w:sz w:val="32"/>
          <w:szCs w:val="32"/>
        </w:rPr>
        <w:t>，形成本绩效评价报告</w:t>
      </w:r>
      <w:r>
        <w:rPr>
          <w:rFonts w:ascii="仿宋_GB2312" w:eastAsia="仿宋_GB2312" w:cs="仿宋" w:hint="eastAsia"/>
          <w:kern w:val="0"/>
          <w:sz w:val="32"/>
          <w:szCs w:val="32"/>
        </w:rPr>
        <w:t>。</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一、部门概况</w:t>
      </w:r>
    </w:p>
    <w:p w:rsidR="009E7DEE" w:rsidRDefault="003B3BC9" w:rsidP="00214BF2">
      <w:pPr>
        <w:pStyle w:val="2"/>
        <w:spacing w:line="580" w:lineRule="exact"/>
        <w:ind w:firstLine="643"/>
        <w:rPr>
          <w:rFonts w:ascii="仿宋_GB2312" w:eastAsia="仿宋_GB2312" w:hAnsi="Calibri" w:cs="仿宋"/>
          <w:b/>
          <w:bCs/>
          <w:sz w:val="32"/>
          <w:szCs w:val="32"/>
          <w:lang w:val="en-US"/>
        </w:rPr>
      </w:pPr>
      <w:r>
        <w:rPr>
          <w:rFonts w:ascii="仿宋_GB2312" w:eastAsia="仿宋_GB2312" w:hAnsi="Calibri" w:cs="仿宋" w:hint="eastAsia"/>
          <w:b/>
          <w:bCs/>
          <w:sz w:val="32"/>
          <w:szCs w:val="32"/>
          <w:lang w:val="en-US"/>
        </w:rPr>
        <w:t>（一）部门机构基本情况</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秦皇岛市旅游和文化广电局（简称市旅游文广局）为市政府工作部门，机构规格正处级，加挂秦皇岛市文物局牌子。市旅游</w:t>
      </w:r>
      <w:proofErr w:type="gramStart"/>
      <w:r>
        <w:rPr>
          <w:rFonts w:ascii="仿宋_GB2312" w:eastAsia="仿宋_GB2312" w:cs="仿宋" w:hint="eastAsia"/>
          <w:kern w:val="0"/>
          <w:sz w:val="32"/>
          <w:szCs w:val="32"/>
        </w:rPr>
        <w:t>文广局本级</w:t>
      </w:r>
      <w:proofErr w:type="gramEnd"/>
      <w:r>
        <w:rPr>
          <w:rFonts w:ascii="仿宋_GB2312" w:eastAsia="仿宋_GB2312" w:cs="仿宋" w:hint="eastAsia"/>
          <w:kern w:val="0"/>
          <w:sz w:val="32"/>
          <w:szCs w:val="32"/>
        </w:rPr>
        <w:t>下设内设机构</w:t>
      </w:r>
      <w:r>
        <w:rPr>
          <w:rFonts w:ascii="仿宋_GB2312" w:eastAsia="仿宋_GB2312" w:cs="仿宋" w:hint="eastAsia"/>
          <w:kern w:val="0"/>
          <w:sz w:val="32"/>
          <w:szCs w:val="32"/>
        </w:rPr>
        <w:t>13</w:t>
      </w:r>
      <w:r>
        <w:rPr>
          <w:rFonts w:ascii="仿宋_GB2312" w:eastAsia="仿宋_GB2312" w:cs="仿宋" w:hint="eastAsia"/>
          <w:kern w:val="0"/>
          <w:sz w:val="32"/>
          <w:szCs w:val="32"/>
        </w:rPr>
        <w:t>个，内设机构分别是：办公室、产业发展科、行业促进科、公共服务科、艺术科、非物质文化遗产科、文物科、广播电视科、市场和安全监管科、财务统计科、城市形象推广与交流科、直属机关党委、离退休干部科。市旅游文广局局属事业单位</w:t>
      </w:r>
      <w:r>
        <w:rPr>
          <w:rFonts w:ascii="仿宋_GB2312" w:eastAsia="仿宋_GB2312" w:cs="仿宋" w:hint="eastAsia"/>
          <w:kern w:val="0"/>
          <w:sz w:val="32"/>
          <w:szCs w:val="32"/>
        </w:rPr>
        <w:t>8</w:t>
      </w:r>
      <w:r>
        <w:rPr>
          <w:rFonts w:ascii="仿宋_GB2312" w:eastAsia="仿宋_GB2312" w:cs="仿宋" w:hint="eastAsia"/>
          <w:kern w:val="0"/>
          <w:sz w:val="32"/>
          <w:szCs w:val="32"/>
        </w:rPr>
        <w:t>个，分别为：秦皇岛市文化市场综合行政执法局、秦皇岛市文物保护中心、秦皇岛图书馆、秦皇岛市文化艺术中心、秦皇岛市文化艺术研究所、秦皇岛市群众艺术馆、秦皇岛市小海燕评</w:t>
      </w:r>
      <w:r>
        <w:rPr>
          <w:rFonts w:ascii="仿宋_GB2312" w:eastAsia="仿宋_GB2312" w:cs="仿宋" w:hint="eastAsia"/>
          <w:kern w:val="0"/>
          <w:sz w:val="32"/>
          <w:szCs w:val="32"/>
        </w:rPr>
        <w:t>剧团、秦皇岛市玻璃博物馆。</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（二）部门预算及执行情况</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1.</w:t>
      </w:r>
      <w:r>
        <w:rPr>
          <w:rFonts w:ascii="仿宋_GB2312" w:eastAsia="仿宋_GB2312" w:cs="仿宋" w:hint="eastAsia"/>
          <w:kern w:val="0"/>
          <w:sz w:val="32"/>
          <w:szCs w:val="32"/>
        </w:rPr>
        <w:t>部门整体支出年初预算安排</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lastRenderedPageBreak/>
        <w:t>2021</w:t>
      </w:r>
      <w:r>
        <w:rPr>
          <w:rFonts w:ascii="仿宋_GB2312" w:eastAsia="仿宋_GB2312" w:cs="仿宋" w:hint="eastAsia"/>
          <w:kern w:val="0"/>
          <w:sz w:val="32"/>
          <w:szCs w:val="32"/>
        </w:rPr>
        <w:t>年度市旅游和文化广电局部</w:t>
      </w:r>
      <w:proofErr w:type="gramStart"/>
      <w:r>
        <w:rPr>
          <w:rFonts w:ascii="仿宋_GB2312" w:eastAsia="仿宋_GB2312" w:cs="仿宋" w:hint="eastAsia"/>
          <w:kern w:val="0"/>
          <w:sz w:val="32"/>
          <w:szCs w:val="32"/>
        </w:rPr>
        <w:t>门整体</w:t>
      </w:r>
      <w:proofErr w:type="gramEnd"/>
      <w:r>
        <w:rPr>
          <w:rFonts w:ascii="仿宋_GB2312" w:eastAsia="仿宋_GB2312" w:cs="仿宋" w:hint="eastAsia"/>
          <w:kern w:val="0"/>
          <w:sz w:val="32"/>
          <w:szCs w:val="32"/>
        </w:rPr>
        <w:t>支出年初预算总额为</w:t>
      </w:r>
      <w:r>
        <w:rPr>
          <w:rFonts w:ascii="仿宋_GB2312" w:eastAsia="仿宋_GB2312" w:cs="仿宋" w:hint="eastAsia"/>
          <w:kern w:val="0"/>
          <w:sz w:val="32"/>
          <w:szCs w:val="32"/>
        </w:rPr>
        <w:t xml:space="preserve"> 9126.67</w:t>
      </w:r>
      <w:r>
        <w:rPr>
          <w:rFonts w:ascii="仿宋_GB2312" w:eastAsia="仿宋_GB2312" w:cs="仿宋" w:hint="eastAsia"/>
          <w:kern w:val="0"/>
          <w:sz w:val="32"/>
          <w:szCs w:val="32"/>
        </w:rPr>
        <w:t>万元，其中：一般公共预算拨款支出</w:t>
      </w:r>
      <w:r>
        <w:rPr>
          <w:rFonts w:ascii="仿宋_GB2312" w:eastAsia="仿宋_GB2312" w:cs="仿宋" w:hint="eastAsia"/>
          <w:kern w:val="0"/>
          <w:sz w:val="32"/>
          <w:szCs w:val="32"/>
        </w:rPr>
        <w:t xml:space="preserve">9076.67 </w:t>
      </w:r>
      <w:r>
        <w:rPr>
          <w:rFonts w:ascii="仿宋_GB2312" w:eastAsia="仿宋_GB2312" w:cs="仿宋" w:hint="eastAsia"/>
          <w:kern w:val="0"/>
          <w:sz w:val="32"/>
          <w:szCs w:val="32"/>
        </w:rPr>
        <w:t>万元，占比</w:t>
      </w:r>
      <w:r>
        <w:rPr>
          <w:rFonts w:ascii="仿宋_GB2312" w:eastAsia="仿宋_GB2312" w:cs="仿宋" w:hint="eastAsia"/>
          <w:kern w:val="0"/>
          <w:sz w:val="32"/>
          <w:szCs w:val="32"/>
        </w:rPr>
        <w:t xml:space="preserve"> 99.45%</w:t>
      </w:r>
      <w:r>
        <w:rPr>
          <w:rFonts w:ascii="仿宋_GB2312" w:eastAsia="仿宋_GB2312" w:cs="仿宋" w:hint="eastAsia"/>
          <w:kern w:val="0"/>
          <w:sz w:val="32"/>
          <w:szCs w:val="32"/>
        </w:rPr>
        <w:t>；其他来源收入</w:t>
      </w:r>
      <w:r>
        <w:rPr>
          <w:rFonts w:ascii="仿宋_GB2312" w:eastAsia="仿宋_GB2312" w:cs="仿宋" w:hint="eastAsia"/>
          <w:kern w:val="0"/>
          <w:sz w:val="32"/>
          <w:szCs w:val="32"/>
        </w:rPr>
        <w:t>50</w:t>
      </w:r>
      <w:r>
        <w:rPr>
          <w:rFonts w:ascii="仿宋_GB2312" w:eastAsia="仿宋_GB2312" w:cs="仿宋" w:hint="eastAsia"/>
          <w:kern w:val="0"/>
          <w:sz w:val="32"/>
          <w:szCs w:val="32"/>
        </w:rPr>
        <w:t>万元，占比</w:t>
      </w:r>
      <w:r>
        <w:rPr>
          <w:rFonts w:ascii="仿宋_GB2312" w:eastAsia="仿宋_GB2312" w:cs="仿宋" w:hint="eastAsia"/>
          <w:kern w:val="0"/>
          <w:sz w:val="32"/>
          <w:szCs w:val="32"/>
        </w:rPr>
        <w:t>0.55%</w:t>
      </w:r>
      <w:r>
        <w:rPr>
          <w:rFonts w:ascii="仿宋_GB2312" w:eastAsia="仿宋_GB2312" w:cs="仿宋" w:hint="eastAsia"/>
          <w:kern w:val="0"/>
          <w:sz w:val="32"/>
          <w:szCs w:val="32"/>
        </w:rPr>
        <w:t>；按预算支出用途划分，基本支出预算</w:t>
      </w:r>
      <w:r>
        <w:rPr>
          <w:rFonts w:ascii="仿宋_GB2312" w:eastAsia="仿宋_GB2312" w:cs="仿宋" w:hint="eastAsia"/>
          <w:kern w:val="0"/>
          <w:sz w:val="32"/>
          <w:szCs w:val="32"/>
        </w:rPr>
        <w:t>6343.53</w:t>
      </w:r>
      <w:r>
        <w:rPr>
          <w:rFonts w:ascii="仿宋_GB2312" w:eastAsia="仿宋_GB2312" w:cs="仿宋" w:hint="eastAsia"/>
          <w:kern w:val="0"/>
          <w:sz w:val="32"/>
          <w:szCs w:val="32"/>
        </w:rPr>
        <w:t>万元，占年度部门整体支出预算</w:t>
      </w:r>
      <w:r>
        <w:rPr>
          <w:rFonts w:ascii="仿宋_GB2312" w:eastAsia="仿宋_GB2312" w:cs="仿宋" w:hint="eastAsia"/>
          <w:kern w:val="0"/>
          <w:sz w:val="32"/>
          <w:szCs w:val="32"/>
        </w:rPr>
        <w:t xml:space="preserve"> 69.51%</w:t>
      </w:r>
      <w:r>
        <w:rPr>
          <w:rFonts w:ascii="仿宋_GB2312" w:eastAsia="仿宋_GB2312" w:cs="仿宋" w:hint="eastAsia"/>
          <w:kern w:val="0"/>
          <w:sz w:val="32"/>
          <w:szCs w:val="32"/>
        </w:rPr>
        <w:t>，主要用于人员工资福利及日常公用支出；项目支出预算</w:t>
      </w:r>
      <w:r>
        <w:rPr>
          <w:rFonts w:ascii="仿宋_GB2312" w:eastAsia="仿宋_GB2312" w:cs="仿宋" w:hint="eastAsia"/>
          <w:kern w:val="0"/>
          <w:sz w:val="32"/>
          <w:szCs w:val="32"/>
        </w:rPr>
        <w:t>2783.14</w:t>
      </w:r>
      <w:r>
        <w:rPr>
          <w:rFonts w:ascii="仿宋_GB2312" w:eastAsia="仿宋_GB2312" w:cs="仿宋" w:hint="eastAsia"/>
          <w:kern w:val="0"/>
          <w:sz w:val="32"/>
          <w:szCs w:val="32"/>
        </w:rPr>
        <w:t>万元，占年度部门整体支出预算</w:t>
      </w:r>
      <w:r>
        <w:rPr>
          <w:rFonts w:ascii="仿宋_GB2312" w:eastAsia="仿宋_GB2312" w:cs="仿宋" w:hint="eastAsia"/>
          <w:kern w:val="0"/>
          <w:sz w:val="32"/>
          <w:szCs w:val="32"/>
        </w:rPr>
        <w:t>30.49%</w:t>
      </w:r>
      <w:r>
        <w:rPr>
          <w:rFonts w:ascii="仿宋_GB2312" w:eastAsia="仿宋_GB2312" w:cs="仿宋" w:hint="eastAsia"/>
          <w:kern w:val="0"/>
          <w:sz w:val="32"/>
          <w:szCs w:val="32"/>
        </w:rPr>
        <w:t>，主要用于保障年度完成核定的职能工作。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w:t>
      </w:r>
      <w:r>
        <w:rPr>
          <w:rFonts w:ascii="仿宋_GB2312" w:eastAsia="仿宋_GB2312" w:cs="仿宋" w:hint="eastAsia"/>
          <w:kern w:val="0"/>
          <w:sz w:val="32"/>
          <w:szCs w:val="32"/>
        </w:rPr>
        <w:t>部门整体</w:t>
      </w:r>
      <w:r>
        <w:rPr>
          <w:rFonts w:ascii="仿宋_GB2312" w:eastAsia="仿宋_GB2312" w:cs="仿宋" w:hint="eastAsia"/>
          <w:kern w:val="0"/>
          <w:sz w:val="32"/>
          <w:szCs w:val="32"/>
        </w:rPr>
        <w:t>支出预算执行情况</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依据部门预决算数据，</w:t>
      </w:r>
      <w:r>
        <w:rPr>
          <w:rFonts w:ascii="仿宋_GB2312" w:eastAsia="仿宋_GB2312" w:cs="仿宋" w:hint="eastAsia"/>
          <w:kern w:val="0"/>
          <w:sz w:val="32"/>
          <w:szCs w:val="32"/>
        </w:rPr>
        <w:t>2021</w:t>
      </w:r>
      <w:r>
        <w:rPr>
          <w:rFonts w:ascii="仿宋_GB2312" w:eastAsia="仿宋_GB2312" w:cs="仿宋" w:hint="eastAsia"/>
          <w:kern w:val="0"/>
          <w:sz w:val="32"/>
          <w:szCs w:val="32"/>
        </w:rPr>
        <w:t>年</w:t>
      </w:r>
      <w:r>
        <w:rPr>
          <w:rFonts w:ascii="仿宋_GB2312" w:eastAsia="仿宋_GB2312" w:cs="仿宋" w:hint="eastAsia"/>
          <w:kern w:val="0"/>
          <w:sz w:val="32"/>
          <w:szCs w:val="32"/>
        </w:rPr>
        <w:t>该</w:t>
      </w:r>
      <w:r>
        <w:rPr>
          <w:rFonts w:ascii="仿宋_GB2312" w:eastAsia="仿宋_GB2312" w:cs="仿宋" w:hint="eastAsia"/>
          <w:kern w:val="0"/>
          <w:sz w:val="32"/>
          <w:szCs w:val="32"/>
        </w:rPr>
        <w:t>部门（含所属预算单位）整体年初预算批复</w:t>
      </w:r>
      <w:r>
        <w:rPr>
          <w:rFonts w:ascii="仿宋_GB2312" w:eastAsia="仿宋_GB2312" w:cs="仿宋" w:hint="eastAsia"/>
          <w:kern w:val="0"/>
          <w:sz w:val="32"/>
          <w:szCs w:val="32"/>
        </w:rPr>
        <w:t>9126.67</w:t>
      </w:r>
      <w:r>
        <w:rPr>
          <w:rFonts w:ascii="仿宋_GB2312" w:eastAsia="仿宋_GB2312" w:cs="仿宋" w:hint="eastAsia"/>
          <w:kern w:val="0"/>
          <w:sz w:val="32"/>
          <w:szCs w:val="32"/>
        </w:rPr>
        <w:t>万元（一般公共预算财政拨款收入</w:t>
      </w:r>
      <w:r>
        <w:rPr>
          <w:rFonts w:ascii="仿宋_GB2312" w:eastAsia="仿宋_GB2312" w:cs="仿宋" w:hint="eastAsia"/>
          <w:kern w:val="0"/>
          <w:sz w:val="32"/>
          <w:szCs w:val="32"/>
        </w:rPr>
        <w:t>9076.67</w:t>
      </w:r>
      <w:r>
        <w:rPr>
          <w:rFonts w:ascii="仿宋_GB2312" w:eastAsia="仿宋_GB2312" w:cs="仿宋" w:hint="eastAsia"/>
          <w:kern w:val="0"/>
          <w:sz w:val="32"/>
          <w:szCs w:val="32"/>
        </w:rPr>
        <w:t>万元、事业收入</w:t>
      </w:r>
      <w:r>
        <w:rPr>
          <w:rFonts w:ascii="仿宋_GB2312" w:eastAsia="仿宋_GB2312" w:cs="仿宋" w:hint="eastAsia"/>
          <w:kern w:val="0"/>
          <w:sz w:val="32"/>
          <w:szCs w:val="32"/>
        </w:rPr>
        <w:t>50</w:t>
      </w:r>
      <w:r>
        <w:rPr>
          <w:rFonts w:ascii="仿宋_GB2312" w:eastAsia="仿宋_GB2312" w:cs="仿宋" w:hint="eastAsia"/>
          <w:kern w:val="0"/>
          <w:sz w:val="32"/>
          <w:szCs w:val="32"/>
        </w:rPr>
        <w:t>万元）、年初结转和结余</w:t>
      </w:r>
      <w:r>
        <w:rPr>
          <w:rFonts w:ascii="仿宋_GB2312" w:eastAsia="仿宋_GB2312" w:cs="仿宋" w:hint="eastAsia"/>
          <w:kern w:val="0"/>
          <w:sz w:val="32"/>
          <w:szCs w:val="32"/>
        </w:rPr>
        <w:t>450.69</w:t>
      </w:r>
      <w:r>
        <w:rPr>
          <w:rFonts w:ascii="仿宋_GB2312" w:eastAsia="仿宋_GB2312" w:cs="仿宋" w:hint="eastAsia"/>
          <w:kern w:val="0"/>
          <w:sz w:val="32"/>
          <w:szCs w:val="32"/>
        </w:rPr>
        <w:t>万元，收入预算调整数</w:t>
      </w:r>
      <w:r>
        <w:rPr>
          <w:rFonts w:ascii="仿宋_GB2312" w:eastAsia="仿宋_GB2312" w:cs="仿宋" w:hint="eastAsia"/>
          <w:kern w:val="0"/>
          <w:sz w:val="32"/>
          <w:szCs w:val="32"/>
        </w:rPr>
        <w:t>10609.76</w:t>
      </w:r>
      <w:r>
        <w:rPr>
          <w:rFonts w:ascii="仿宋_GB2312" w:eastAsia="仿宋_GB2312" w:cs="仿宋" w:hint="eastAsia"/>
          <w:kern w:val="0"/>
          <w:sz w:val="32"/>
          <w:szCs w:val="32"/>
        </w:rPr>
        <w:t>万元。本年实际收入</w:t>
      </w:r>
      <w:r>
        <w:rPr>
          <w:rFonts w:ascii="仿宋_GB2312" w:eastAsia="仿宋_GB2312" w:cs="仿宋" w:hint="eastAsia"/>
          <w:kern w:val="0"/>
          <w:sz w:val="32"/>
          <w:szCs w:val="32"/>
        </w:rPr>
        <w:t>10609.77</w:t>
      </w:r>
      <w:r>
        <w:rPr>
          <w:rFonts w:ascii="仿宋_GB2312" w:eastAsia="仿宋_GB2312" w:cs="仿宋" w:hint="eastAsia"/>
          <w:kern w:val="0"/>
          <w:sz w:val="32"/>
          <w:szCs w:val="32"/>
        </w:rPr>
        <w:t>万元，其中一般公共预算财政拨款收入</w:t>
      </w:r>
      <w:r>
        <w:rPr>
          <w:rFonts w:ascii="仿宋_GB2312" w:eastAsia="仿宋_GB2312" w:cs="仿宋" w:hint="eastAsia"/>
          <w:kern w:val="0"/>
          <w:sz w:val="32"/>
          <w:szCs w:val="32"/>
        </w:rPr>
        <w:t>9596</w:t>
      </w:r>
      <w:r>
        <w:rPr>
          <w:rFonts w:ascii="仿宋_GB2312" w:eastAsia="仿宋_GB2312" w:cs="仿宋"/>
          <w:kern w:val="0"/>
          <w:sz w:val="32"/>
          <w:szCs w:val="32"/>
        </w:rPr>
        <w:t>.</w:t>
      </w:r>
      <w:r>
        <w:rPr>
          <w:rFonts w:ascii="仿宋_GB2312" w:eastAsia="仿宋_GB2312" w:cs="仿宋" w:hint="eastAsia"/>
          <w:kern w:val="0"/>
          <w:sz w:val="32"/>
          <w:szCs w:val="32"/>
        </w:rPr>
        <w:t>18</w:t>
      </w:r>
      <w:r>
        <w:rPr>
          <w:rFonts w:ascii="仿宋_GB2312" w:eastAsia="仿宋_GB2312" w:cs="仿宋" w:hint="eastAsia"/>
          <w:kern w:val="0"/>
          <w:sz w:val="32"/>
          <w:szCs w:val="32"/>
        </w:rPr>
        <w:t>万元、政府性基金预算财政拨款收入</w:t>
      </w:r>
      <w:r>
        <w:rPr>
          <w:rFonts w:ascii="仿宋_GB2312" w:eastAsia="仿宋_GB2312" w:cs="仿宋" w:hint="eastAsia"/>
          <w:kern w:val="0"/>
          <w:sz w:val="32"/>
          <w:szCs w:val="32"/>
        </w:rPr>
        <w:t>456.80</w:t>
      </w:r>
      <w:r>
        <w:rPr>
          <w:rFonts w:ascii="仿宋_GB2312" w:eastAsia="仿宋_GB2312" w:cs="仿宋" w:hint="eastAsia"/>
          <w:kern w:val="0"/>
          <w:sz w:val="32"/>
          <w:szCs w:val="32"/>
        </w:rPr>
        <w:t>万元、事业收入</w:t>
      </w:r>
      <w:r>
        <w:rPr>
          <w:rFonts w:ascii="仿宋_GB2312" w:eastAsia="仿宋_GB2312" w:cs="仿宋" w:hint="eastAsia"/>
          <w:kern w:val="0"/>
          <w:sz w:val="32"/>
          <w:szCs w:val="32"/>
        </w:rPr>
        <w:t>70.41</w:t>
      </w:r>
      <w:r>
        <w:rPr>
          <w:rFonts w:ascii="仿宋_GB2312" w:eastAsia="仿宋_GB2312" w:cs="仿宋" w:hint="eastAsia"/>
          <w:kern w:val="0"/>
          <w:sz w:val="32"/>
          <w:szCs w:val="32"/>
        </w:rPr>
        <w:t>万元、其他收入</w:t>
      </w:r>
      <w:r>
        <w:rPr>
          <w:rFonts w:ascii="仿宋_GB2312" w:eastAsia="仿宋_GB2312" w:cs="仿宋" w:hint="eastAsia"/>
          <w:kern w:val="0"/>
          <w:sz w:val="32"/>
          <w:szCs w:val="32"/>
        </w:rPr>
        <w:t>486.38</w:t>
      </w:r>
      <w:r>
        <w:rPr>
          <w:rFonts w:ascii="仿宋_GB2312" w:eastAsia="仿宋_GB2312" w:cs="仿宋" w:hint="eastAsia"/>
          <w:kern w:val="0"/>
          <w:sz w:val="32"/>
          <w:szCs w:val="32"/>
        </w:rPr>
        <w:t>万元。本年实际支出</w:t>
      </w:r>
      <w:r>
        <w:rPr>
          <w:rFonts w:ascii="仿宋_GB2312" w:eastAsia="仿宋_GB2312" w:cs="仿宋" w:hint="eastAsia"/>
          <w:kern w:val="0"/>
          <w:sz w:val="32"/>
          <w:szCs w:val="32"/>
        </w:rPr>
        <w:t>10749.52</w:t>
      </w:r>
      <w:r>
        <w:rPr>
          <w:rFonts w:ascii="仿宋_GB2312" w:eastAsia="仿宋_GB2312" w:cs="仿宋" w:hint="eastAsia"/>
          <w:kern w:val="0"/>
          <w:sz w:val="32"/>
          <w:szCs w:val="32"/>
        </w:rPr>
        <w:t>万元，支出预算调整数</w:t>
      </w:r>
      <w:r>
        <w:rPr>
          <w:rFonts w:ascii="仿宋_GB2312" w:eastAsia="仿宋_GB2312" w:cs="仿宋" w:hint="eastAsia"/>
          <w:kern w:val="0"/>
          <w:sz w:val="32"/>
          <w:szCs w:val="32"/>
        </w:rPr>
        <w:t>11060.46</w:t>
      </w:r>
      <w:r>
        <w:rPr>
          <w:rFonts w:ascii="仿宋_GB2312" w:eastAsia="仿宋_GB2312" w:cs="仿宋" w:hint="eastAsia"/>
          <w:kern w:val="0"/>
          <w:sz w:val="32"/>
          <w:szCs w:val="32"/>
        </w:rPr>
        <w:t>万元，预算执行率</w:t>
      </w:r>
      <w:r>
        <w:rPr>
          <w:rFonts w:ascii="仿宋_GB2312" w:eastAsia="仿宋_GB2312" w:cs="仿宋" w:hint="eastAsia"/>
          <w:kern w:val="0"/>
          <w:sz w:val="32"/>
          <w:szCs w:val="32"/>
        </w:rPr>
        <w:t>97.19%</w:t>
      </w:r>
      <w:r>
        <w:rPr>
          <w:rFonts w:ascii="仿宋_GB2312" w:eastAsia="仿宋_GB2312" w:cs="仿宋" w:hint="eastAsia"/>
          <w:kern w:val="0"/>
          <w:sz w:val="32"/>
          <w:szCs w:val="32"/>
        </w:rPr>
        <w:t>。年</w:t>
      </w:r>
      <w:r>
        <w:rPr>
          <w:rFonts w:ascii="仿宋_GB2312" w:eastAsia="仿宋_GB2312" w:cs="仿宋" w:hint="eastAsia"/>
          <w:kern w:val="0"/>
          <w:sz w:val="32"/>
          <w:szCs w:val="32"/>
        </w:rPr>
        <w:t>末结转和结余</w:t>
      </w:r>
      <w:r>
        <w:rPr>
          <w:rFonts w:ascii="仿宋_GB2312" w:eastAsia="仿宋_GB2312" w:cs="仿宋" w:hint="eastAsia"/>
          <w:kern w:val="0"/>
          <w:sz w:val="32"/>
          <w:szCs w:val="32"/>
        </w:rPr>
        <w:t>310.95</w:t>
      </w:r>
      <w:r>
        <w:rPr>
          <w:rFonts w:ascii="仿宋_GB2312" w:eastAsia="仿宋_GB2312" w:cs="仿宋" w:hint="eastAsia"/>
          <w:kern w:val="0"/>
          <w:sz w:val="32"/>
          <w:szCs w:val="32"/>
        </w:rPr>
        <w:t>万元。</w:t>
      </w:r>
    </w:p>
    <w:p w:rsidR="009E7DEE" w:rsidRDefault="003B3BC9">
      <w:pPr>
        <w:adjustRightInd w:val="0"/>
        <w:snapToGrid w:val="0"/>
        <w:spacing w:line="580" w:lineRule="exact"/>
        <w:ind w:firstLineChars="200" w:firstLine="640"/>
        <w:contextualSpacing/>
        <w:rPr>
          <w:rFonts w:ascii="仿宋_GB2312" w:eastAsia="仿宋_GB2312" w:cs="仿宋"/>
          <w:kern w:val="0"/>
          <w:sz w:val="32"/>
          <w:szCs w:val="32"/>
        </w:rPr>
      </w:pPr>
      <w:r>
        <w:rPr>
          <w:rFonts w:ascii="仿宋_GB2312" w:eastAsia="仿宋_GB2312" w:cs="仿宋" w:hint="eastAsia"/>
          <w:kern w:val="0"/>
          <w:sz w:val="32"/>
          <w:szCs w:val="32"/>
        </w:rPr>
        <w:t>依据部门预决算数据，本年实际支出</w:t>
      </w:r>
      <w:r>
        <w:rPr>
          <w:rFonts w:ascii="仿宋_GB2312" w:eastAsia="仿宋_GB2312" w:cs="仿宋" w:hint="eastAsia"/>
          <w:kern w:val="0"/>
          <w:sz w:val="32"/>
          <w:szCs w:val="32"/>
        </w:rPr>
        <w:t>10749.52</w:t>
      </w:r>
      <w:r>
        <w:rPr>
          <w:rFonts w:ascii="仿宋_GB2312" w:eastAsia="仿宋_GB2312" w:cs="仿宋" w:hint="eastAsia"/>
          <w:kern w:val="0"/>
          <w:sz w:val="32"/>
          <w:szCs w:val="32"/>
        </w:rPr>
        <w:t>万元，按支出性质分类，其中基本支出</w:t>
      </w:r>
      <w:r>
        <w:rPr>
          <w:rFonts w:ascii="仿宋_GB2312" w:eastAsia="仿宋_GB2312" w:cs="仿宋" w:hint="eastAsia"/>
          <w:kern w:val="0"/>
          <w:sz w:val="32"/>
          <w:szCs w:val="32"/>
        </w:rPr>
        <w:t>6370.00</w:t>
      </w:r>
      <w:r>
        <w:rPr>
          <w:rFonts w:ascii="仿宋_GB2312" w:eastAsia="仿宋_GB2312" w:cs="仿宋" w:hint="eastAsia"/>
          <w:kern w:val="0"/>
          <w:sz w:val="32"/>
          <w:szCs w:val="32"/>
        </w:rPr>
        <w:t>万元（人员经费</w:t>
      </w:r>
      <w:r>
        <w:rPr>
          <w:rFonts w:ascii="仿宋_GB2312" w:eastAsia="仿宋_GB2312" w:cs="仿宋" w:hint="eastAsia"/>
          <w:kern w:val="0"/>
          <w:sz w:val="32"/>
          <w:szCs w:val="32"/>
        </w:rPr>
        <w:t>5659.85</w:t>
      </w:r>
      <w:r>
        <w:rPr>
          <w:rFonts w:ascii="仿宋_GB2312" w:eastAsia="仿宋_GB2312" w:cs="仿宋" w:hint="eastAsia"/>
          <w:kern w:val="0"/>
          <w:sz w:val="32"/>
          <w:szCs w:val="32"/>
        </w:rPr>
        <w:t>万元，占比</w:t>
      </w:r>
      <w:r>
        <w:rPr>
          <w:rFonts w:ascii="仿宋_GB2312" w:eastAsia="仿宋_GB2312" w:cs="仿宋" w:hint="eastAsia"/>
          <w:kern w:val="0"/>
          <w:sz w:val="32"/>
          <w:szCs w:val="32"/>
        </w:rPr>
        <w:t>88.85%</w:t>
      </w:r>
      <w:r>
        <w:rPr>
          <w:rFonts w:ascii="仿宋_GB2312" w:eastAsia="仿宋_GB2312" w:cs="仿宋" w:hint="eastAsia"/>
          <w:kern w:val="0"/>
          <w:sz w:val="32"/>
          <w:szCs w:val="32"/>
        </w:rPr>
        <w:t>；公用经费</w:t>
      </w:r>
      <w:r>
        <w:rPr>
          <w:rFonts w:ascii="仿宋_GB2312" w:eastAsia="仿宋_GB2312" w:cs="仿宋" w:hint="eastAsia"/>
          <w:kern w:val="0"/>
          <w:sz w:val="32"/>
          <w:szCs w:val="32"/>
        </w:rPr>
        <w:t>710.15</w:t>
      </w:r>
      <w:r>
        <w:rPr>
          <w:rFonts w:ascii="仿宋_GB2312" w:eastAsia="仿宋_GB2312" w:cs="仿宋" w:hint="eastAsia"/>
          <w:kern w:val="0"/>
          <w:sz w:val="32"/>
          <w:szCs w:val="32"/>
        </w:rPr>
        <w:t>万元，占比</w:t>
      </w:r>
      <w:r>
        <w:rPr>
          <w:rFonts w:ascii="仿宋_GB2312" w:eastAsia="仿宋_GB2312" w:cs="仿宋" w:hint="eastAsia"/>
          <w:kern w:val="0"/>
          <w:sz w:val="32"/>
          <w:szCs w:val="32"/>
        </w:rPr>
        <w:t>11.15%</w:t>
      </w:r>
      <w:r>
        <w:rPr>
          <w:rFonts w:ascii="仿宋_GB2312" w:eastAsia="仿宋_GB2312" w:cs="仿宋" w:hint="eastAsia"/>
          <w:kern w:val="0"/>
          <w:sz w:val="32"/>
          <w:szCs w:val="32"/>
        </w:rPr>
        <w:t>），占比</w:t>
      </w:r>
      <w:r>
        <w:rPr>
          <w:rFonts w:ascii="仿宋_GB2312" w:eastAsia="仿宋_GB2312" w:cs="仿宋" w:hint="eastAsia"/>
          <w:kern w:val="0"/>
          <w:sz w:val="32"/>
          <w:szCs w:val="32"/>
        </w:rPr>
        <w:t>59.25%</w:t>
      </w:r>
      <w:r>
        <w:rPr>
          <w:rFonts w:ascii="仿宋_GB2312" w:eastAsia="仿宋_GB2312" w:cs="仿宋" w:hint="eastAsia"/>
          <w:kern w:val="0"/>
          <w:sz w:val="32"/>
          <w:szCs w:val="32"/>
        </w:rPr>
        <w:t>；项目支出</w:t>
      </w:r>
      <w:r>
        <w:rPr>
          <w:rFonts w:ascii="仿宋_GB2312" w:eastAsia="仿宋_GB2312" w:cs="仿宋" w:hint="eastAsia"/>
          <w:kern w:val="0"/>
          <w:sz w:val="32"/>
          <w:szCs w:val="32"/>
        </w:rPr>
        <w:t>4379.52</w:t>
      </w:r>
      <w:r>
        <w:rPr>
          <w:rFonts w:ascii="仿宋_GB2312" w:eastAsia="仿宋_GB2312" w:cs="仿宋" w:hint="eastAsia"/>
          <w:kern w:val="0"/>
          <w:sz w:val="32"/>
          <w:szCs w:val="32"/>
        </w:rPr>
        <w:t>万元，占比</w:t>
      </w:r>
      <w:r>
        <w:rPr>
          <w:rFonts w:ascii="仿宋_GB2312" w:eastAsia="仿宋_GB2312" w:cs="仿宋" w:hint="eastAsia"/>
          <w:kern w:val="0"/>
          <w:sz w:val="32"/>
          <w:szCs w:val="32"/>
        </w:rPr>
        <w:t>40.75%</w:t>
      </w:r>
      <w:r>
        <w:rPr>
          <w:rFonts w:ascii="仿宋_GB2312" w:eastAsia="仿宋_GB2312" w:cs="仿宋" w:hint="eastAsia"/>
          <w:kern w:val="0"/>
          <w:sz w:val="32"/>
          <w:szCs w:val="32"/>
        </w:rPr>
        <w:t>。</w:t>
      </w:r>
    </w:p>
    <w:p w:rsidR="009E7DEE" w:rsidRDefault="003B3BC9">
      <w:pPr>
        <w:adjustRightInd w:val="0"/>
        <w:snapToGrid w:val="0"/>
        <w:spacing w:line="580" w:lineRule="exact"/>
        <w:ind w:firstLineChars="200" w:firstLine="640"/>
        <w:contextualSpacing/>
        <w:rPr>
          <w:rFonts w:ascii="仿宋_GB2312" w:eastAsia="仿宋_GB2312" w:cs="仿宋"/>
          <w:kern w:val="0"/>
          <w:sz w:val="32"/>
          <w:szCs w:val="32"/>
        </w:rPr>
      </w:pPr>
      <w:r>
        <w:rPr>
          <w:rFonts w:ascii="仿宋_GB2312" w:eastAsia="仿宋_GB2312" w:cs="仿宋" w:hint="eastAsia"/>
          <w:kern w:val="0"/>
          <w:sz w:val="32"/>
          <w:szCs w:val="32"/>
        </w:rPr>
        <w:t>依据部门预决算数据，本年实际支出</w:t>
      </w:r>
      <w:r>
        <w:rPr>
          <w:rFonts w:ascii="仿宋_GB2312" w:eastAsia="仿宋_GB2312" w:cs="仿宋" w:hint="eastAsia"/>
          <w:kern w:val="0"/>
          <w:sz w:val="32"/>
          <w:szCs w:val="32"/>
        </w:rPr>
        <w:t>10749.52</w:t>
      </w:r>
      <w:r>
        <w:rPr>
          <w:rFonts w:ascii="仿宋_GB2312" w:eastAsia="仿宋_GB2312" w:cs="仿宋" w:hint="eastAsia"/>
          <w:kern w:val="0"/>
          <w:sz w:val="32"/>
          <w:szCs w:val="32"/>
        </w:rPr>
        <w:t>万元，按照经济分类，市旅游和文化广电局部</w:t>
      </w:r>
      <w:proofErr w:type="gramStart"/>
      <w:r>
        <w:rPr>
          <w:rFonts w:ascii="仿宋_GB2312" w:eastAsia="仿宋_GB2312" w:cs="仿宋" w:hint="eastAsia"/>
          <w:kern w:val="0"/>
          <w:sz w:val="32"/>
          <w:szCs w:val="32"/>
        </w:rPr>
        <w:t>门整体</w:t>
      </w:r>
      <w:proofErr w:type="gramEnd"/>
      <w:r>
        <w:rPr>
          <w:rFonts w:ascii="仿宋_GB2312" w:eastAsia="仿宋_GB2312" w:cs="仿宋" w:hint="eastAsia"/>
          <w:kern w:val="0"/>
          <w:sz w:val="32"/>
          <w:szCs w:val="32"/>
        </w:rPr>
        <w:t>支出主要用于工资福利支出、商品和服务支出、对个人和家庭补助支出、资本性支出以及对企事业单位的补贴等方面。其中工资福利支出</w:t>
      </w:r>
      <w:r>
        <w:rPr>
          <w:rFonts w:ascii="仿宋_GB2312" w:eastAsia="仿宋_GB2312" w:cs="仿宋" w:hint="eastAsia"/>
          <w:kern w:val="0"/>
          <w:sz w:val="32"/>
          <w:szCs w:val="32"/>
        </w:rPr>
        <w:t>534</w:t>
      </w:r>
      <w:r>
        <w:rPr>
          <w:rFonts w:ascii="仿宋_GB2312" w:eastAsia="仿宋_GB2312" w:cs="仿宋" w:hint="eastAsia"/>
          <w:kern w:val="0"/>
          <w:sz w:val="32"/>
          <w:szCs w:val="32"/>
        </w:rPr>
        <w:t>4.87</w:t>
      </w:r>
      <w:r>
        <w:rPr>
          <w:rFonts w:ascii="仿宋_GB2312" w:eastAsia="仿宋_GB2312" w:cs="仿宋" w:hint="eastAsia"/>
          <w:kern w:val="0"/>
          <w:sz w:val="32"/>
          <w:szCs w:val="32"/>
        </w:rPr>
        <w:t>万元、</w:t>
      </w:r>
      <w:r>
        <w:rPr>
          <w:rFonts w:ascii="仿宋_GB2312" w:eastAsia="仿宋_GB2312" w:cs="仿宋" w:hint="eastAsia"/>
          <w:kern w:val="0"/>
          <w:sz w:val="32"/>
          <w:szCs w:val="32"/>
        </w:rPr>
        <w:lastRenderedPageBreak/>
        <w:t>商品和服务支出</w:t>
      </w:r>
      <w:r>
        <w:rPr>
          <w:rFonts w:ascii="仿宋_GB2312" w:eastAsia="仿宋_GB2312" w:cs="仿宋" w:hint="eastAsia"/>
          <w:kern w:val="0"/>
          <w:sz w:val="32"/>
          <w:szCs w:val="32"/>
        </w:rPr>
        <w:t>3430.41</w:t>
      </w:r>
      <w:r>
        <w:rPr>
          <w:rFonts w:ascii="仿宋_GB2312" w:eastAsia="仿宋_GB2312" w:cs="仿宋" w:hint="eastAsia"/>
          <w:kern w:val="0"/>
          <w:sz w:val="32"/>
          <w:szCs w:val="32"/>
        </w:rPr>
        <w:t>万元、对个人和家庭补助</w:t>
      </w:r>
      <w:r>
        <w:rPr>
          <w:rFonts w:ascii="仿宋_GB2312" w:eastAsia="仿宋_GB2312" w:cs="仿宋" w:hint="eastAsia"/>
          <w:kern w:val="0"/>
          <w:sz w:val="32"/>
          <w:szCs w:val="32"/>
        </w:rPr>
        <w:t>398.61</w:t>
      </w:r>
      <w:r>
        <w:rPr>
          <w:rFonts w:ascii="仿宋_GB2312" w:eastAsia="仿宋_GB2312" w:cs="仿宋" w:hint="eastAsia"/>
          <w:kern w:val="0"/>
          <w:sz w:val="32"/>
          <w:szCs w:val="32"/>
        </w:rPr>
        <w:t>万元、资本性支出</w:t>
      </w:r>
      <w:r>
        <w:rPr>
          <w:rFonts w:ascii="仿宋_GB2312" w:eastAsia="仿宋_GB2312" w:cs="仿宋" w:hint="eastAsia"/>
          <w:kern w:val="0"/>
          <w:sz w:val="32"/>
          <w:szCs w:val="32"/>
        </w:rPr>
        <w:t>(</w:t>
      </w:r>
      <w:r>
        <w:rPr>
          <w:rFonts w:ascii="仿宋_GB2312" w:eastAsia="仿宋_GB2312" w:cs="仿宋" w:hint="eastAsia"/>
          <w:kern w:val="0"/>
          <w:sz w:val="32"/>
          <w:szCs w:val="32"/>
        </w:rPr>
        <w:t>基本建设）</w:t>
      </w:r>
      <w:r>
        <w:rPr>
          <w:rFonts w:ascii="仿宋_GB2312" w:eastAsia="仿宋_GB2312" w:cs="仿宋" w:hint="eastAsia"/>
          <w:kern w:val="0"/>
          <w:sz w:val="32"/>
          <w:szCs w:val="32"/>
        </w:rPr>
        <w:t>29.17</w:t>
      </w:r>
      <w:r>
        <w:rPr>
          <w:rFonts w:ascii="仿宋_GB2312" w:eastAsia="仿宋_GB2312" w:cs="仿宋" w:hint="eastAsia"/>
          <w:kern w:val="0"/>
          <w:sz w:val="32"/>
          <w:szCs w:val="32"/>
        </w:rPr>
        <w:t>万元、资本性支出</w:t>
      </w:r>
      <w:r>
        <w:rPr>
          <w:rFonts w:ascii="仿宋_GB2312" w:eastAsia="仿宋_GB2312" w:cs="仿宋" w:hint="eastAsia"/>
          <w:kern w:val="0"/>
          <w:sz w:val="32"/>
          <w:szCs w:val="32"/>
        </w:rPr>
        <w:t>935.19</w:t>
      </w:r>
      <w:r>
        <w:rPr>
          <w:rFonts w:ascii="仿宋_GB2312" w:eastAsia="仿宋_GB2312" w:cs="仿宋" w:hint="eastAsia"/>
          <w:kern w:val="0"/>
          <w:sz w:val="32"/>
          <w:szCs w:val="32"/>
        </w:rPr>
        <w:t>万元、对企业补助</w:t>
      </w:r>
      <w:r>
        <w:rPr>
          <w:rFonts w:ascii="仿宋_GB2312" w:eastAsia="仿宋_GB2312" w:cs="仿宋" w:hint="eastAsia"/>
          <w:kern w:val="0"/>
          <w:sz w:val="32"/>
          <w:szCs w:val="32"/>
        </w:rPr>
        <w:t>611.27</w:t>
      </w:r>
      <w:r>
        <w:rPr>
          <w:rFonts w:ascii="仿宋_GB2312" w:eastAsia="仿宋_GB2312" w:cs="仿宋" w:hint="eastAsia"/>
          <w:kern w:val="0"/>
          <w:sz w:val="32"/>
          <w:szCs w:val="32"/>
        </w:rPr>
        <w:t>万元。</w:t>
      </w:r>
    </w:p>
    <w:p w:rsidR="009E7DEE" w:rsidRDefault="003B3BC9">
      <w:pPr>
        <w:adjustRightInd w:val="0"/>
        <w:snapToGrid w:val="0"/>
        <w:spacing w:line="580" w:lineRule="exact"/>
        <w:ind w:firstLineChars="200" w:firstLine="640"/>
        <w:contextualSpacing/>
        <w:rPr>
          <w:rFonts w:ascii="仿宋_GB2312" w:eastAsia="仿宋_GB2312" w:cs="仿宋"/>
          <w:kern w:val="0"/>
          <w:sz w:val="32"/>
          <w:szCs w:val="32"/>
        </w:rPr>
      </w:pPr>
      <w:r>
        <w:rPr>
          <w:rFonts w:ascii="仿宋_GB2312" w:eastAsia="仿宋_GB2312" w:cs="仿宋" w:hint="eastAsia"/>
          <w:kern w:val="0"/>
          <w:sz w:val="32"/>
          <w:szCs w:val="32"/>
        </w:rPr>
        <w:t>依据部门预决算数据，</w:t>
      </w:r>
      <w:r>
        <w:rPr>
          <w:rFonts w:ascii="仿宋_GB2312" w:eastAsia="仿宋_GB2312" w:cs="仿宋" w:hint="eastAsia"/>
          <w:kern w:val="0"/>
          <w:sz w:val="32"/>
          <w:szCs w:val="32"/>
        </w:rPr>
        <w:t>2021</w:t>
      </w:r>
      <w:r>
        <w:rPr>
          <w:rFonts w:ascii="仿宋_GB2312" w:eastAsia="仿宋_GB2312" w:cs="仿宋" w:hint="eastAsia"/>
          <w:kern w:val="0"/>
          <w:sz w:val="32"/>
          <w:szCs w:val="32"/>
        </w:rPr>
        <w:t>年部门（含所属预算单位）项目支出年初预算安排</w:t>
      </w:r>
      <w:r>
        <w:rPr>
          <w:rFonts w:ascii="仿宋_GB2312" w:eastAsia="仿宋_GB2312" w:cs="仿宋" w:hint="eastAsia"/>
          <w:kern w:val="0"/>
          <w:sz w:val="32"/>
          <w:szCs w:val="32"/>
        </w:rPr>
        <w:t>2783.14</w:t>
      </w:r>
      <w:r>
        <w:rPr>
          <w:rFonts w:ascii="仿宋_GB2312" w:eastAsia="仿宋_GB2312" w:cs="仿宋" w:hint="eastAsia"/>
          <w:kern w:val="0"/>
          <w:sz w:val="32"/>
          <w:szCs w:val="32"/>
        </w:rPr>
        <w:t>万元，年中调整</w:t>
      </w:r>
      <w:proofErr w:type="gramStart"/>
      <w:r>
        <w:rPr>
          <w:rFonts w:ascii="仿宋_GB2312" w:eastAsia="仿宋_GB2312" w:cs="仿宋" w:hint="eastAsia"/>
          <w:kern w:val="0"/>
          <w:sz w:val="32"/>
          <w:szCs w:val="32"/>
        </w:rPr>
        <w:t>后预算</w:t>
      </w:r>
      <w:proofErr w:type="gramEnd"/>
      <w:r>
        <w:rPr>
          <w:rFonts w:ascii="仿宋_GB2312" w:eastAsia="仿宋_GB2312" w:cs="仿宋" w:hint="eastAsia"/>
          <w:kern w:val="0"/>
          <w:sz w:val="32"/>
          <w:szCs w:val="32"/>
        </w:rPr>
        <w:t>数为</w:t>
      </w:r>
      <w:r>
        <w:rPr>
          <w:rFonts w:ascii="仿宋_GB2312" w:eastAsia="仿宋_GB2312" w:cs="仿宋" w:hint="eastAsia"/>
          <w:kern w:val="0"/>
          <w:sz w:val="32"/>
          <w:szCs w:val="32"/>
        </w:rPr>
        <w:t>4687.54</w:t>
      </w:r>
      <w:r>
        <w:rPr>
          <w:rFonts w:ascii="仿宋_GB2312" w:eastAsia="仿宋_GB2312" w:cs="仿宋" w:hint="eastAsia"/>
          <w:kern w:val="0"/>
          <w:sz w:val="32"/>
          <w:szCs w:val="32"/>
        </w:rPr>
        <w:t>万元，决算数</w:t>
      </w:r>
      <w:r>
        <w:rPr>
          <w:rFonts w:ascii="仿宋_GB2312" w:eastAsia="仿宋_GB2312" w:cs="仿宋" w:hint="eastAsia"/>
          <w:kern w:val="0"/>
          <w:sz w:val="32"/>
          <w:szCs w:val="32"/>
        </w:rPr>
        <w:t>4379.52</w:t>
      </w:r>
      <w:r>
        <w:rPr>
          <w:rFonts w:ascii="仿宋_GB2312" w:eastAsia="仿宋_GB2312" w:cs="仿宋" w:hint="eastAsia"/>
          <w:kern w:val="0"/>
          <w:sz w:val="32"/>
          <w:szCs w:val="32"/>
        </w:rPr>
        <w:t>万元，年度实际支出率达</w:t>
      </w:r>
      <w:r>
        <w:rPr>
          <w:rFonts w:ascii="仿宋_GB2312" w:eastAsia="仿宋_GB2312" w:cs="仿宋" w:hint="eastAsia"/>
          <w:kern w:val="0"/>
          <w:sz w:val="32"/>
          <w:szCs w:val="32"/>
        </w:rPr>
        <w:t>93.43%</w:t>
      </w:r>
      <w:r>
        <w:rPr>
          <w:rFonts w:ascii="仿宋_GB2312" w:eastAsia="仿宋_GB2312" w:cs="仿宋" w:hint="eastAsia"/>
          <w:kern w:val="0"/>
          <w:sz w:val="32"/>
          <w:szCs w:val="32"/>
        </w:rPr>
        <w:t>。</w:t>
      </w:r>
      <w:r>
        <w:rPr>
          <w:rFonts w:ascii="仿宋_GB2312" w:eastAsia="仿宋_GB2312" w:cs="仿宋" w:hint="eastAsia"/>
          <w:kern w:val="0"/>
          <w:sz w:val="32"/>
          <w:szCs w:val="32"/>
        </w:rPr>
        <w:t>2021</w:t>
      </w:r>
      <w:r>
        <w:rPr>
          <w:rFonts w:ascii="仿宋_GB2312" w:eastAsia="仿宋_GB2312" w:cs="仿宋" w:hint="eastAsia"/>
          <w:kern w:val="0"/>
          <w:sz w:val="32"/>
          <w:szCs w:val="32"/>
        </w:rPr>
        <w:t>年市旅游</w:t>
      </w:r>
      <w:proofErr w:type="gramStart"/>
      <w:r>
        <w:rPr>
          <w:rFonts w:ascii="仿宋_GB2312" w:eastAsia="仿宋_GB2312" w:cs="仿宋" w:hint="eastAsia"/>
          <w:kern w:val="0"/>
          <w:sz w:val="32"/>
          <w:szCs w:val="32"/>
        </w:rPr>
        <w:t>文广局项目</w:t>
      </w:r>
      <w:proofErr w:type="gramEnd"/>
      <w:r>
        <w:rPr>
          <w:rFonts w:ascii="仿宋_GB2312" w:eastAsia="仿宋_GB2312" w:cs="仿宋" w:hint="eastAsia"/>
          <w:kern w:val="0"/>
          <w:sz w:val="32"/>
          <w:szCs w:val="32"/>
        </w:rPr>
        <w:t>总支出</w:t>
      </w:r>
      <w:r>
        <w:rPr>
          <w:rFonts w:ascii="仿宋_GB2312" w:eastAsia="仿宋_GB2312" w:cs="仿宋" w:hint="eastAsia"/>
          <w:kern w:val="0"/>
          <w:sz w:val="32"/>
          <w:szCs w:val="32"/>
        </w:rPr>
        <w:t>4379.52</w:t>
      </w:r>
      <w:r>
        <w:rPr>
          <w:rFonts w:ascii="仿宋_GB2312" w:eastAsia="仿宋_GB2312" w:cs="仿宋" w:hint="eastAsia"/>
          <w:kern w:val="0"/>
          <w:sz w:val="32"/>
          <w:szCs w:val="32"/>
        </w:rPr>
        <w:t>万元，实际安排专项</w:t>
      </w:r>
      <w:r>
        <w:rPr>
          <w:rFonts w:ascii="仿宋_GB2312" w:eastAsia="仿宋_GB2312" w:cs="仿宋" w:hint="eastAsia"/>
          <w:kern w:val="0"/>
          <w:sz w:val="32"/>
          <w:szCs w:val="32"/>
        </w:rPr>
        <w:t>61</w:t>
      </w:r>
      <w:r>
        <w:rPr>
          <w:rFonts w:ascii="仿宋_GB2312" w:eastAsia="仿宋_GB2312" w:cs="仿宋" w:hint="eastAsia"/>
          <w:kern w:val="0"/>
          <w:sz w:val="32"/>
          <w:szCs w:val="32"/>
        </w:rPr>
        <w:t>项，重点支出安排率</w:t>
      </w:r>
      <w:r>
        <w:rPr>
          <w:rFonts w:ascii="仿宋_GB2312" w:eastAsia="仿宋_GB2312" w:cs="仿宋" w:hint="eastAsia"/>
          <w:kern w:val="0"/>
          <w:sz w:val="32"/>
          <w:szCs w:val="32"/>
        </w:rPr>
        <w:t>100%</w:t>
      </w:r>
      <w:r>
        <w:rPr>
          <w:rFonts w:ascii="仿宋_GB2312" w:eastAsia="仿宋_GB2312" w:cs="仿宋" w:hint="eastAsia"/>
          <w:kern w:val="0"/>
          <w:sz w:val="32"/>
          <w:szCs w:val="32"/>
        </w:rPr>
        <w:t>（各单位均未明确规定重点项目种类，</w:t>
      </w:r>
      <w:proofErr w:type="gramStart"/>
      <w:r>
        <w:rPr>
          <w:rFonts w:ascii="仿宋_GB2312" w:eastAsia="仿宋_GB2312" w:cs="仿宋" w:hint="eastAsia"/>
          <w:kern w:val="0"/>
          <w:sz w:val="32"/>
          <w:szCs w:val="32"/>
        </w:rPr>
        <w:t>故</w:t>
      </w:r>
      <w:r>
        <w:rPr>
          <w:rFonts w:ascii="仿宋_GB2312" w:eastAsia="仿宋_GB2312" w:cs="仿宋" w:hint="eastAsia"/>
          <w:kern w:val="0"/>
          <w:sz w:val="32"/>
          <w:szCs w:val="32"/>
        </w:rPr>
        <w:t>项目</w:t>
      </w:r>
      <w:proofErr w:type="gramEnd"/>
      <w:r>
        <w:rPr>
          <w:rFonts w:ascii="仿宋_GB2312" w:eastAsia="仿宋_GB2312" w:cs="仿宋" w:hint="eastAsia"/>
          <w:kern w:val="0"/>
          <w:sz w:val="32"/>
          <w:szCs w:val="32"/>
        </w:rPr>
        <w:t>支出均记为重点</w:t>
      </w:r>
      <w:r>
        <w:rPr>
          <w:rFonts w:ascii="仿宋_GB2312" w:eastAsia="仿宋_GB2312" w:cs="仿宋" w:hint="eastAsia"/>
          <w:kern w:val="0"/>
          <w:sz w:val="32"/>
          <w:szCs w:val="32"/>
        </w:rPr>
        <w:t>支出）。</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（三）</w:t>
      </w:r>
      <w:r>
        <w:rPr>
          <w:rFonts w:ascii="仿宋_GB2312" w:eastAsia="仿宋_GB2312" w:cs="仿宋" w:hint="eastAsia"/>
          <w:b/>
          <w:kern w:val="0"/>
          <w:sz w:val="32"/>
          <w:szCs w:val="32"/>
        </w:rPr>
        <w:t>年度</w:t>
      </w:r>
      <w:r>
        <w:rPr>
          <w:rFonts w:ascii="仿宋_GB2312" w:eastAsia="仿宋_GB2312" w:cs="仿宋" w:hint="eastAsia"/>
          <w:b/>
          <w:kern w:val="0"/>
          <w:sz w:val="32"/>
          <w:szCs w:val="32"/>
        </w:rPr>
        <w:t>绩效目标</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bookmarkStart w:id="0" w:name="_Hlk18531038"/>
      <w:r>
        <w:rPr>
          <w:rFonts w:ascii="仿宋_GB2312" w:eastAsia="仿宋_GB2312" w:cs="仿宋" w:hint="eastAsia"/>
          <w:b/>
          <w:kern w:val="0"/>
          <w:sz w:val="32"/>
          <w:szCs w:val="32"/>
        </w:rPr>
        <w:t>1.</w:t>
      </w:r>
      <w:r>
        <w:rPr>
          <w:rFonts w:ascii="仿宋_GB2312" w:eastAsia="仿宋_GB2312" w:cs="仿宋" w:hint="eastAsia"/>
          <w:b/>
          <w:kern w:val="0"/>
          <w:sz w:val="32"/>
          <w:szCs w:val="32"/>
        </w:rPr>
        <w:t>总体绩效目标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2021</w:t>
      </w:r>
      <w:r>
        <w:rPr>
          <w:rFonts w:ascii="仿宋_GB2312" w:eastAsia="仿宋_GB2312" w:cs="仿宋" w:hint="eastAsia"/>
          <w:kern w:val="0"/>
          <w:sz w:val="32"/>
          <w:szCs w:val="32"/>
        </w:rPr>
        <w:t>年，全市旅游和文化广电系统以习近平新时代中国特色社会主义思想为指导，坚决贯彻落实市委、市政府决策部署，以“十四五”文化和旅游发展规划为纲领，以“一流国际旅游城市建设”为目标，以“国家全域旅游示范区创建、国家旅游标准化试点建设、国家公共服务体系示范区建设和长城国家文化公园建设”为抓手，主动适应</w:t>
      </w:r>
      <w:proofErr w:type="gramStart"/>
      <w:r>
        <w:rPr>
          <w:rFonts w:ascii="仿宋_GB2312" w:eastAsia="仿宋_GB2312" w:cs="仿宋" w:hint="eastAsia"/>
          <w:kern w:val="0"/>
          <w:sz w:val="32"/>
          <w:szCs w:val="32"/>
        </w:rPr>
        <w:t>文旅发展</w:t>
      </w:r>
      <w:proofErr w:type="gramEnd"/>
      <w:r>
        <w:rPr>
          <w:rFonts w:ascii="仿宋_GB2312" w:eastAsia="仿宋_GB2312" w:cs="仿宋" w:hint="eastAsia"/>
          <w:kern w:val="0"/>
          <w:sz w:val="32"/>
          <w:szCs w:val="32"/>
        </w:rPr>
        <w:t>新趋势、新要求、新思路，</w:t>
      </w:r>
      <w:proofErr w:type="gramStart"/>
      <w:r>
        <w:rPr>
          <w:rFonts w:ascii="仿宋_GB2312" w:eastAsia="仿宋_GB2312" w:cs="仿宋" w:hint="eastAsia"/>
          <w:kern w:val="0"/>
          <w:sz w:val="32"/>
          <w:szCs w:val="32"/>
        </w:rPr>
        <w:t>加大文旅供给</w:t>
      </w:r>
      <w:proofErr w:type="gramEnd"/>
      <w:r>
        <w:rPr>
          <w:rFonts w:ascii="仿宋_GB2312" w:eastAsia="仿宋_GB2312" w:cs="仿宋" w:hint="eastAsia"/>
          <w:kern w:val="0"/>
          <w:sz w:val="32"/>
          <w:szCs w:val="32"/>
        </w:rPr>
        <w:t>侧结构性改革力度，克服疫情影响，提</w:t>
      </w:r>
      <w:proofErr w:type="gramStart"/>
      <w:r>
        <w:rPr>
          <w:rFonts w:ascii="仿宋_GB2312" w:eastAsia="仿宋_GB2312" w:cs="仿宋" w:hint="eastAsia"/>
          <w:kern w:val="0"/>
          <w:sz w:val="32"/>
          <w:szCs w:val="32"/>
        </w:rPr>
        <w:t>振文旅市场</w:t>
      </w:r>
      <w:proofErr w:type="gramEnd"/>
      <w:r>
        <w:rPr>
          <w:rFonts w:ascii="仿宋_GB2312" w:eastAsia="仿宋_GB2312" w:cs="仿宋" w:hint="eastAsia"/>
          <w:kern w:val="0"/>
          <w:sz w:val="32"/>
          <w:szCs w:val="32"/>
        </w:rPr>
        <w:t>，全力保障</w:t>
      </w:r>
      <w:proofErr w:type="gramStart"/>
      <w:r>
        <w:rPr>
          <w:rFonts w:ascii="仿宋_GB2312" w:eastAsia="仿宋_GB2312" w:cs="仿宋" w:hint="eastAsia"/>
          <w:kern w:val="0"/>
          <w:sz w:val="32"/>
          <w:szCs w:val="32"/>
        </w:rPr>
        <w:t>全市文旅产业</w:t>
      </w:r>
      <w:proofErr w:type="gramEnd"/>
      <w:r>
        <w:rPr>
          <w:rFonts w:ascii="仿宋_GB2312" w:eastAsia="仿宋_GB2312" w:cs="仿宋" w:hint="eastAsia"/>
          <w:kern w:val="0"/>
          <w:sz w:val="32"/>
          <w:szCs w:val="32"/>
        </w:rPr>
        <w:t>恢复高质量发展。</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2.</w:t>
      </w:r>
      <w:r>
        <w:rPr>
          <w:rFonts w:ascii="仿宋_GB2312" w:eastAsia="仿宋_GB2312" w:cs="仿宋" w:hint="eastAsia"/>
          <w:b/>
          <w:kern w:val="0"/>
          <w:sz w:val="32"/>
          <w:szCs w:val="32"/>
        </w:rPr>
        <w:t>分项绩效目标</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1</w:t>
      </w:r>
      <w:r>
        <w:rPr>
          <w:rFonts w:ascii="仿宋_GB2312" w:eastAsia="仿宋_GB2312" w:cs="仿宋" w:hint="eastAsia"/>
          <w:b/>
          <w:kern w:val="0"/>
          <w:sz w:val="32"/>
          <w:szCs w:val="32"/>
        </w:rPr>
        <w:t>）做好新时期文</w:t>
      </w:r>
      <w:r>
        <w:rPr>
          <w:rFonts w:ascii="仿宋_GB2312" w:eastAsia="仿宋_GB2312" w:cs="仿宋" w:hint="eastAsia"/>
          <w:b/>
          <w:kern w:val="0"/>
          <w:sz w:val="32"/>
          <w:szCs w:val="32"/>
        </w:rPr>
        <w:t>化旅游产业融合发展</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绩效目标：启动旅游和文化“十四五的”规划实施。理清全市十四五发展思路和重点方向，完成各县区旅游和文化十四五规划评审。做好《秦皇岛市文化产业企业资源现状普查》，全面普</w:t>
      </w:r>
      <w:r>
        <w:rPr>
          <w:rFonts w:ascii="仿宋_GB2312" w:eastAsia="仿宋_GB2312" w:cs="仿宋" w:hint="eastAsia"/>
          <w:kern w:val="0"/>
          <w:sz w:val="32"/>
          <w:szCs w:val="32"/>
        </w:rPr>
        <w:lastRenderedPageBreak/>
        <w:t>查我市文化产业企业资源现状，建立符合我市经济发展需求的文化产业布局及思路。加强</w:t>
      </w:r>
      <w:proofErr w:type="gramStart"/>
      <w:r>
        <w:rPr>
          <w:rFonts w:ascii="仿宋_GB2312" w:eastAsia="仿宋_GB2312" w:cs="仿宋" w:hint="eastAsia"/>
          <w:kern w:val="0"/>
          <w:sz w:val="32"/>
          <w:szCs w:val="32"/>
        </w:rPr>
        <w:t>文旅项目</w:t>
      </w:r>
      <w:proofErr w:type="gramEnd"/>
      <w:r>
        <w:rPr>
          <w:rFonts w:ascii="仿宋_GB2312" w:eastAsia="仿宋_GB2312" w:cs="仿宋" w:hint="eastAsia"/>
          <w:kern w:val="0"/>
          <w:sz w:val="32"/>
          <w:szCs w:val="32"/>
        </w:rPr>
        <w:t>督导，强化招商引资。构建一流国际旅游城市特色</w:t>
      </w:r>
      <w:proofErr w:type="gramStart"/>
      <w:r>
        <w:rPr>
          <w:rFonts w:ascii="仿宋_GB2312" w:eastAsia="仿宋_GB2312" w:cs="仿宋" w:hint="eastAsia"/>
          <w:kern w:val="0"/>
          <w:sz w:val="32"/>
          <w:szCs w:val="32"/>
        </w:rPr>
        <w:t>化评价</w:t>
      </w:r>
      <w:proofErr w:type="gramEnd"/>
      <w:r>
        <w:rPr>
          <w:rFonts w:ascii="仿宋_GB2312" w:eastAsia="仿宋_GB2312" w:cs="仿宋" w:hint="eastAsia"/>
          <w:kern w:val="0"/>
          <w:sz w:val="32"/>
          <w:szCs w:val="32"/>
        </w:rPr>
        <w:t>指标体系</w:t>
      </w:r>
      <w:r>
        <w:rPr>
          <w:rFonts w:ascii="仿宋_GB2312" w:eastAsia="仿宋_GB2312" w:cs="仿宋" w:hint="eastAsia"/>
          <w:kern w:val="0"/>
          <w:sz w:val="32"/>
          <w:szCs w:val="32"/>
        </w:rPr>
        <w:t>,</w:t>
      </w:r>
      <w:r>
        <w:rPr>
          <w:rFonts w:ascii="仿宋_GB2312" w:eastAsia="仿宋_GB2312" w:cs="仿宋" w:hint="eastAsia"/>
          <w:kern w:val="0"/>
          <w:sz w:val="32"/>
          <w:szCs w:val="32"/>
        </w:rPr>
        <w:t>推进一流国际旅游城市建设。</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①完成全市十四五旅游和文化发展规划编制≥</w:t>
      </w:r>
      <w:r>
        <w:rPr>
          <w:rFonts w:ascii="仿宋_GB2312" w:eastAsia="仿宋_GB2312" w:cs="仿宋" w:hint="eastAsia"/>
          <w:kern w:val="0"/>
          <w:sz w:val="32"/>
          <w:szCs w:val="32"/>
        </w:rPr>
        <w:t>1</w:t>
      </w:r>
      <w:r>
        <w:rPr>
          <w:rFonts w:ascii="仿宋_GB2312" w:eastAsia="仿宋_GB2312" w:cs="仿宋" w:hint="eastAsia"/>
          <w:kern w:val="0"/>
          <w:sz w:val="32"/>
          <w:szCs w:val="32"/>
        </w:rPr>
        <w:t>项</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w:t>
      </w:r>
      <w:r>
        <w:rPr>
          <w:rFonts w:ascii="仿宋_GB2312" w:eastAsia="仿宋_GB2312" w:cs="仿宋" w:hint="eastAsia"/>
          <w:kern w:val="0"/>
          <w:sz w:val="32"/>
          <w:szCs w:val="32"/>
        </w:rPr>
        <w:t>2021</w:t>
      </w:r>
      <w:r>
        <w:rPr>
          <w:rFonts w:ascii="仿宋_GB2312" w:eastAsia="仿宋_GB2312" w:cs="仿宋" w:hint="eastAsia"/>
          <w:kern w:val="0"/>
          <w:sz w:val="32"/>
          <w:szCs w:val="32"/>
        </w:rPr>
        <w:t>年新建续建文化旅游项目≥</w:t>
      </w:r>
      <w:r>
        <w:rPr>
          <w:rFonts w:ascii="仿宋_GB2312" w:eastAsia="仿宋_GB2312" w:cs="仿宋" w:hint="eastAsia"/>
          <w:kern w:val="0"/>
          <w:sz w:val="32"/>
          <w:szCs w:val="32"/>
        </w:rPr>
        <w:t>20</w:t>
      </w:r>
      <w:r>
        <w:rPr>
          <w:rFonts w:ascii="仿宋_GB2312" w:eastAsia="仿宋_GB2312" w:cs="仿宋" w:hint="eastAsia"/>
          <w:kern w:val="0"/>
          <w:sz w:val="32"/>
          <w:szCs w:val="32"/>
        </w:rPr>
        <w:t>项</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③完成全市文化产业资源普查，建立文化企业资源名录库。</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2</w:t>
      </w:r>
      <w:r>
        <w:rPr>
          <w:rFonts w:ascii="仿宋_GB2312" w:eastAsia="仿宋_GB2312" w:cs="仿宋" w:hint="eastAsia"/>
          <w:b/>
          <w:kern w:val="0"/>
          <w:sz w:val="32"/>
          <w:szCs w:val="32"/>
        </w:rPr>
        <w:t>）力推国家全域旅游示范区创建</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绩效目标：把握国家验收新标准，组织创建工作培训，指导县区对照国家标准，</w:t>
      </w:r>
      <w:proofErr w:type="gramStart"/>
      <w:r>
        <w:rPr>
          <w:rFonts w:ascii="仿宋_GB2312" w:eastAsia="仿宋_GB2312" w:cs="仿宋" w:hint="eastAsia"/>
          <w:kern w:val="0"/>
          <w:sz w:val="32"/>
          <w:szCs w:val="32"/>
        </w:rPr>
        <w:t>逐项找</w:t>
      </w:r>
      <w:proofErr w:type="gramEnd"/>
      <w:r>
        <w:rPr>
          <w:rFonts w:ascii="仿宋_GB2312" w:eastAsia="仿宋_GB2312" w:cs="仿宋" w:hint="eastAsia"/>
          <w:kern w:val="0"/>
          <w:sz w:val="32"/>
          <w:szCs w:val="32"/>
        </w:rPr>
        <w:t>差距、固强补弱，按批次推进国家、省级全域旅游示范区创建，</w:t>
      </w:r>
      <w:r>
        <w:rPr>
          <w:rFonts w:ascii="仿宋_GB2312" w:eastAsia="仿宋_GB2312" w:cs="仿宋" w:hint="eastAsia"/>
          <w:kern w:val="0"/>
          <w:sz w:val="32"/>
          <w:szCs w:val="32"/>
        </w:rPr>
        <w:t>2021</w:t>
      </w:r>
      <w:r>
        <w:rPr>
          <w:rFonts w:ascii="仿宋_GB2312" w:eastAsia="仿宋_GB2312" w:cs="仿宋" w:hint="eastAsia"/>
          <w:kern w:val="0"/>
          <w:sz w:val="32"/>
          <w:szCs w:val="32"/>
        </w:rPr>
        <w:t>年力争北戴河新区达到国家全域旅游示范区验收标准，海港区、昌黎县达到省级全域旅游示范区验收标准。</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①组织全域旅游示范区创建工作培训≥</w:t>
      </w:r>
      <w:r>
        <w:rPr>
          <w:rFonts w:ascii="仿宋_GB2312" w:eastAsia="仿宋_GB2312" w:cs="仿宋" w:hint="eastAsia"/>
          <w:kern w:val="0"/>
          <w:sz w:val="32"/>
          <w:szCs w:val="32"/>
        </w:rPr>
        <w:t>1</w:t>
      </w:r>
      <w:r>
        <w:rPr>
          <w:rFonts w:ascii="仿宋_GB2312" w:eastAsia="仿宋_GB2312" w:cs="仿宋" w:hint="eastAsia"/>
          <w:kern w:val="0"/>
          <w:sz w:val="32"/>
          <w:szCs w:val="32"/>
        </w:rPr>
        <w:t>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②省级全域旅游示范区创建数量≥</w:t>
      </w:r>
      <w:r>
        <w:rPr>
          <w:rFonts w:ascii="仿宋_GB2312" w:eastAsia="仿宋_GB2312" w:cs="仿宋" w:hint="eastAsia"/>
          <w:kern w:val="0"/>
          <w:sz w:val="32"/>
          <w:szCs w:val="32"/>
        </w:rPr>
        <w:t>1</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③达到省级全域旅游示范区验收标准≥</w:t>
      </w:r>
      <w:r>
        <w:rPr>
          <w:rFonts w:ascii="仿宋_GB2312" w:eastAsia="仿宋_GB2312" w:cs="仿宋" w:hint="eastAsia"/>
          <w:kern w:val="0"/>
          <w:sz w:val="32"/>
          <w:szCs w:val="32"/>
        </w:rPr>
        <w:t>100%</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3</w:t>
      </w:r>
      <w:r>
        <w:rPr>
          <w:rFonts w:ascii="仿宋_GB2312" w:eastAsia="仿宋_GB2312" w:cs="仿宋" w:hint="eastAsia"/>
          <w:b/>
          <w:kern w:val="0"/>
          <w:sz w:val="32"/>
          <w:szCs w:val="32"/>
        </w:rPr>
        <w:t>）抓好长城国家文化公园建设</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绩效目标：按照《长城国家文化公园秦皇岛段建设保护实施规划》，全面推进我市长城国</w:t>
      </w:r>
      <w:r>
        <w:rPr>
          <w:rFonts w:ascii="仿宋_GB2312" w:eastAsia="仿宋_GB2312" w:cs="仿宋" w:hint="eastAsia"/>
          <w:kern w:val="0"/>
          <w:sz w:val="32"/>
          <w:szCs w:val="32"/>
        </w:rPr>
        <w:t>家文化公园项目建设，做好工作督导，重点抓好山海关长城保护修缮与展示工程、山海关中国长城文化博物馆、山海关长城风景道、</w:t>
      </w:r>
      <w:proofErr w:type="gramStart"/>
      <w:r>
        <w:rPr>
          <w:rFonts w:ascii="仿宋_GB2312" w:eastAsia="仿宋_GB2312" w:cs="仿宋" w:hint="eastAsia"/>
          <w:kern w:val="0"/>
          <w:sz w:val="32"/>
          <w:szCs w:val="32"/>
        </w:rPr>
        <w:t>板厂峪长城</w:t>
      </w:r>
      <w:proofErr w:type="gramEnd"/>
      <w:r>
        <w:rPr>
          <w:rFonts w:ascii="仿宋_GB2312" w:eastAsia="仿宋_GB2312" w:cs="仿宋" w:hint="eastAsia"/>
          <w:kern w:val="0"/>
          <w:sz w:val="32"/>
          <w:szCs w:val="32"/>
        </w:rPr>
        <w:t>遗址公园、长城维护保养实践与研究等</w:t>
      </w:r>
      <w:r>
        <w:rPr>
          <w:rFonts w:ascii="仿宋_GB2312" w:eastAsia="仿宋_GB2312" w:cs="仿宋" w:hint="eastAsia"/>
          <w:kern w:val="0"/>
          <w:sz w:val="32"/>
          <w:szCs w:val="32"/>
        </w:rPr>
        <w:t>14</w:t>
      </w:r>
      <w:r>
        <w:rPr>
          <w:rFonts w:ascii="仿宋_GB2312" w:eastAsia="仿宋_GB2312" w:cs="仿宋" w:hint="eastAsia"/>
          <w:kern w:val="0"/>
          <w:sz w:val="32"/>
          <w:szCs w:val="32"/>
        </w:rPr>
        <w:t>个省重点项目建设，推动长城观景平台、</w:t>
      </w:r>
      <w:r>
        <w:rPr>
          <w:rFonts w:ascii="仿宋_GB2312" w:eastAsia="仿宋_GB2312" w:cs="仿宋" w:hint="eastAsia"/>
          <w:kern w:val="0"/>
          <w:sz w:val="32"/>
          <w:szCs w:val="32"/>
        </w:rPr>
        <w:lastRenderedPageBreak/>
        <w:t>智慧长城管控、山海关国际长城节等重点工作，全面展示长城国家文化公园</w:t>
      </w:r>
      <w:r>
        <w:rPr>
          <w:rFonts w:ascii="仿宋_GB2312" w:eastAsia="仿宋_GB2312" w:cs="仿宋" w:hint="eastAsia"/>
          <w:kern w:val="0"/>
          <w:sz w:val="32"/>
          <w:szCs w:val="32"/>
        </w:rPr>
        <w:t>4</w:t>
      </w:r>
      <w:r>
        <w:rPr>
          <w:rFonts w:ascii="仿宋_GB2312" w:eastAsia="仿宋_GB2312" w:cs="仿宋" w:hint="eastAsia"/>
          <w:kern w:val="0"/>
          <w:sz w:val="32"/>
          <w:szCs w:val="32"/>
        </w:rPr>
        <w:t>类主体功能区、五大工程的示范效应，加快建设具有秦皇岛鲜明特色的长城国家文化公园，力争年底前初见成效。</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①长城沿线重点项目建设启动数量完成率≥</w:t>
      </w:r>
      <w:r>
        <w:rPr>
          <w:rFonts w:ascii="仿宋_GB2312" w:eastAsia="仿宋_GB2312" w:cs="仿宋" w:hint="eastAsia"/>
          <w:kern w:val="0"/>
          <w:sz w:val="32"/>
          <w:szCs w:val="32"/>
        </w:rPr>
        <w:t>85%</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②长城国家文化公园督导计划完成率</w:t>
      </w:r>
      <w:r>
        <w:rPr>
          <w:rFonts w:ascii="仿宋_GB2312" w:eastAsia="仿宋_GB2312" w:cs="仿宋" w:hint="eastAsia"/>
          <w:kern w:val="0"/>
          <w:sz w:val="32"/>
          <w:szCs w:val="32"/>
        </w:rPr>
        <w:t>100%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③长城国家文化公园建设质量合格率≥</w:t>
      </w:r>
      <w:r>
        <w:rPr>
          <w:rFonts w:ascii="仿宋_GB2312" w:eastAsia="仿宋_GB2312" w:cs="仿宋" w:hint="eastAsia"/>
          <w:kern w:val="0"/>
          <w:sz w:val="32"/>
          <w:szCs w:val="32"/>
        </w:rPr>
        <w:t>85%</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4</w:t>
      </w:r>
      <w:r>
        <w:rPr>
          <w:rFonts w:ascii="仿宋_GB2312" w:eastAsia="仿宋_GB2312" w:cs="仿宋" w:hint="eastAsia"/>
          <w:b/>
          <w:kern w:val="0"/>
          <w:sz w:val="32"/>
          <w:szCs w:val="32"/>
        </w:rPr>
        <w:t>）推进旅游标准化示范城市建设进程</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绩效目标：全面推进旅游景区、星级饭店、旅行社、导游员和文化娱乐场所服务标准，组织编印《秦皇岛市旅游文化市场服务质量和安全生产原创手绘系列培训教材》，发挥山海关一关公司、</w:t>
      </w:r>
      <w:proofErr w:type="gramStart"/>
      <w:r>
        <w:rPr>
          <w:rFonts w:ascii="仿宋_GB2312" w:eastAsia="仿宋_GB2312" w:cs="仿宋" w:hint="eastAsia"/>
          <w:kern w:val="0"/>
          <w:sz w:val="32"/>
          <w:szCs w:val="32"/>
        </w:rPr>
        <w:t>集发农业</w:t>
      </w:r>
      <w:proofErr w:type="gramEnd"/>
      <w:r>
        <w:rPr>
          <w:rFonts w:ascii="仿宋_GB2312" w:eastAsia="仿宋_GB2312" w:cs="仿宋" w:hint="eastAsia"/>
          <w:kern w:val="0"/>
          <w:sz w:val="32"/>
          <w:szCs w:val="32"/>
        </w:rPr>
        <w:t>梦想王国、阿尔卡迪亚酒店、海燕国际旅行社等</w:t>
      </w:r>
      <w:r>
        <w:rPr>
          <w:rFonts w:ascii="仿宋_GB2312" w:eastAsia="仿宋_GB2312" w:cs="仿宋" w:hint="eastAsia"/>
          <w:kern w:val="0"/>
          <w:sz w:val="32"/>
          <w:szCs w:val="32"/>
        </w:rPr>
        <w:t>50</w:t>
      </w:r>
      <w:r>
        <w:rPr>
          <w:rFonts w:ascii="仿宋_GB2312" w:eastAsia="仿宋_GB2312" w:cs="仿宋" w:hint="eastAsia"/>
          <w:kern w:val="0"/>
          <w:sz w:val="32"/>
          <w:szCs w:val="32"/>
        </w:rPr>
        <w:t>家试点标杆企业示范引领作用，引导</w:t>
      </w:r>
      <w:proofErr w:type="gramStart"/>
      <w:r>
        <w:rPr>
          <w:rFonts w:ascii="仿宋_GB2312" w:eastAsia="仿宋_GB2312" w:cs="仿宋" w:hint="eastAsia"/>
          <w:kern w:val="0"/>
          <w:sz w:val="32"/>
          <w:szCs w:val="32"/>
        </w:rPr>
        <w:t>文旅企业</w:t>
      </w:r>
      <w:proofErr w:type="gramEnd"/>
      <w:r>
        <w:rPr>
          <w:rFonts w:ascii="仿宋_GB2312" w:eastAsia="仿宋_GB2312" w:cs="仿宋" w:hint="eastAsia"/>
          <w:kern w:val="0"/>
          <w:sz w:val="32"/>
          <w:szCs w:val="32"/>
        </w:rPr>
        <w:t>制定企业标准，积极申报国家标准、行业标准和河北省地方标准。加强行业培训，年内培训旅游从业人员</w:t>
      </w:r>
      <w:r>
        <w:rPr>
          <w:rFonts w:ascii="仿宋_GB2312" w:eastAsia="仿宋_GB2312" w:cs="仿宋" w:hint="eastAsia"/>
          <w:kern w:val="0"/>
          <w:sz w:val="32"/>
          <w:szCs w:val="32"/>
        </w:rPr>
        <w:t>1</w:t>
      </w:r>
      <w:r>
        <w:rPr>
          <w:rFonts w:ascii="仿宋_GB2312" w:eastAsia="仿宋_GB2312" w:cs="仿宋" w:hint="eastAsia"/>
          <w:kern w:val="0"/>
          <w:sz w:val="32"/>
          <w:szCs w:val="32"/>
        </w:rPr>
        <w:t>万人次以上，塑造和申报优质服务品牌，大力提升游客满意率。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①旅游业标准化体系建设工作覆盖面≥</w:t>
      </w:r>
      <w:r>
        <w:rPr>
          <w:rFonts w:ascii="仿宋_GB2312" w:eastAsia="仿宋_GB2312" w:cs="仿宋" w:hint="eastAsia"/>
          <w:kern w:val="0"/>
          <w:sz w:val="32"/>
          <w:szCs w:val="32"/>
        </w:rPr>
        <w:t>40%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②申报</w:t>
      </w:r>
      <w:r>
        <w:rPr>
          <w:rFonts w:ascii="仿宋_GB2312" w:eastAsia="仿宋_GB2312" w:cs="仿宋" w:hint="eastAsia"/>
          <w:kern w:val="0"/>
          <w:sz w:val="32"/>
          <w:szCs w:val="32"/>
        </w:rPr>
        <w:t>建设特色行业标准数量≥</w:t>
      </w:r>
      <w:r>
        <w:rPr>
          <w:rFonts w:ascii="仿宋_GB2312" w:eastAsia="仿宋_GB2312" w:cs="仿宋" w:hint="eastAsia"/>
          <w:kern w:val="0"/>
          <w:sz w:val="32"/>
          <w:szCs w:val="32"/>
        </w:rPr>
        <w:t>3</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③抓好标杆企业标准化创建工作≥</w:t>
      </w:r>
      <w:r>
        <w:rPr>
          <w:rFonts w:ascii="仿宋_GB2312" w:eastAsia="仿宋_GB2312" w:cs="仿宋" w:hint="eastAsia"/>
          <w:kern w:val="0"/>
          <w:sz w:val="32"/>
          <w:szCs w:val="32"/>
        </w:rPr>
        <w:t>3</w:t>
      </w:r>
      <w:r>
        <w:rPr>
          <w:rFonts w:ascii="仿宋_GB2312" w:eastAsia="仿宋_GB2312" w:cs="仿宋" w:hint="eastAsia"/>
          <w:kern w:val="0"/>
          <w:sz w:val="32"/>
          <w:szCs w:val="32"/>
        </w:rPr>
        <w:t>家</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④年内培训旅游从业人员≥</w:t>
      </w:r>
      <w:r>
        <w:rPr>
          <w:rFonts w:ascii="仿宋_GB2312" w:eastAsia="仿宋_GB2312" w:cs="仿宋" w:hint="eastAsia"/>
          <w:kern w:val="0"/>
          <w:sz w:val="32"/>
          <w:szCs w:val="32"/>
        </w:rPr>
        <w:t>1</w:t>
      </w:r>
      <w:r>
        <w:rPr>
          <w:rFonts w:ascii="仿宋_GB2312" w:eastAsia="仿宋_GB2312" w:cs="仿宋" w:hint="eastAsia"/>
          <w:kern w:val="0"/>
          <w:sz w:val="32"/>
          <w:szCs w:val="32"/>
        </w:rPr>
        <w:t>万人次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⑤印发《秦皇岛市旅游文化市场服务质量和安全生产原创手绘系列培训教材》≥</w:t>
      </w:r>
      <w:r>
        <w:rPr>
          <w:rFonts w:ascii="仿宋_GB2312" w:eastAsia="仿宋_GB2312" w:cs="仿宋" w:hint="eastAsia"/>
          <w:kern w:val="0"/>
          <w:sz w:val="32"/>
          <w:szCs w:val="32"/>
        </w:rPr>
        <w:t>10000</w:t>
      </w:r>
      <w:r>
        <w:rPr>
          <w:rFonts w:ascii="仿宋_GB2312" w:eastAsia="仿宋_GB2312" w:cs="仿宋" w:hint="eastAsia"/>
          <w:kern w:val="0"/>
          <w:sz w:val="32"/>
          <w:szCs w:val="32"/>
        </w:rPr>
        <w:t>册</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⑥通过河北省文化和旅游厅考评验收。</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lastRenderedPageBreak/>
        <w:t>（</w:t>
      </w:r>
      <w:r>
        <w:rPr>
          <w:rFonts w:ascii="仿宋_GB2312" w:eastAsia="仿宋_GB2312" w:cs="仿宋" w:hint="eastAsia"/>
          <w:b/>
          <w:kern w:val="0"/>
          <w:sz w:val="32"/>
          <w:szCs w:val="32"/>
        </w:rPr>
        <w:t>5</w:t>
      </w:r>
      <w:r>
        <w:rPr>
          <w:rFonts w:ascii="仿宋_GB2312" w:eastAsia="仿宋_GB2312" w:cs="仿宋" w:hint="eastAsia"/>
          <w:b/>
          <w:kern w:val="0"/>
          <w:sz w:val="32"/>
          <w:szCs w:val="32"/>
        </w:rPr>
        <w:t>）加强旅游资源开发和利用</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绩效目标：一是优化</w:t>
      </w:r>
      <w:r>
        <w:rPr>
          <w:rFonts w:ascii="仿宋_GB2312" w:eastAsia="仿宋_GB2312" w:cs="仿宋" w:hint="eastAsia"/>
          <w:kern w:val="0"/>
          <w:sz w:val="32"/>
          <w:szCs w:val="32"/>
        </w:rPr>
        <w:t>A</w:t>
      </w:r>
      <w:r>
        <w:rPr>
          <w:rFonts w:ascii="仿宋_GB2312" w:eastAsia="仿宋_GB2312" w:cs="仿宋" w:hint="eastAsia"/>
          <w:kern w:val="0"/>
          <w:sz w:val="32"/>
          <w:szCs w:val="32"/>
        </w:rPr>
        <w:t>级旅游景区品质。围绕“新时代、新景区、新品味”，深入开展“文化进景区”活动，推动全市景区文化资源利用和文化创意引入，</w:t>
      </w:r>
      <w:proofErr w:type="gramStart"/>
      <w:r>
        <w:rPr>
          <w:rFonts w:ascii="仿宋_GB2312" w:eastAsia="仿宋_GB2312" w:cs="仿宋" w:hint="eastAsia"/>
          <w:kern w:val="0"/>
          <w:sz w:val="32"/>
          <w:szCs w:val="32"/>
        </w:rPr>
        <w:t>促进文旅资源共享</w:t>
      </w:r>
      <w:proofErr w:type="gramEnd"/>
      <w:r>
        <w:rPr>
          <w:rFonts w:ascii="仿宋_GB2312" w:eastAsia="仿宋_GB2312" w:cs="仿宋" w:hint="eastAsia"/>
          <w:kern w:val="0"/>
          <w:sz w:val="32"/>
          <w:szCs w:val="32"/>
        </w:rPr>
        <w:t>、优势互补、协同并进。组织</w:t>
      </w:r>
      <w:proofErr w:type="gramStart"/>
      <w:r>
        <w:rPr>
          <w:rFonts w:ascii="仿宋_GB2312" w:eastAsia="仿宋_GB2312" w:cs="仿宋" w:hint="eastAsia"/>
          <w:kern w:val="0"/>
          <w:sz w:val="32"/>
          <w:szCs w:val="32"/>
        </w:rPr>
        <w:t>网红集中</w:t>
      </w:r>
      <w:proofErr w:type="gramEnd"/>
      <w:r>
        <w:rPr>
          <w:rFonts w:ascii="仿宋_GB2312" w:eastAsia="仿宋_GB2312" w:cs="仿宋" w:hint="eastAsia"/>
          <w:kern w:val="0"/>
          <w:sz w:val="32"/>
          <w:szCs w:val="32"/>
        </w:rPr>
        <w:t>推介景区活动，加强旅游景区宣传推广，提升景区知名度，推动全市旅游市场复苏。二是</w:t>
      </w:r>
      <w:r>
        <w:rPr>
          <w:rFonts w:ascii="仿宋_GB2312" w:eastAsia="仿宋_GB2312" w:cs="仿宋" w:hint="eastAsia"/>
          <w:kern w:val="0"/>
          <w:sz w:val="32"/>
          <w:szCs w:val="32"/>
        </w:rPr>
        <w:t>提升文创和旅游商品质量。创新举办文创和旅游商品大赛，加快旅游商品设计研发，新推出一批具有地方特色的精品旅游商品。组织参加国家、省文创和旅游商品大赛，提升我市旅游商品知名度。三是大力发展乡村旅游。推广星级旅游民宿国家标准，开展星级民宿创建评选活动，新培育一批标准高、质量好、服务优的精品民宿，举办民宿掌柜大号，提升全市民</w:t>
      </w:r>
      <w:proofErr w:type="gramStart"/>
      <w:r>
        <w:rPr>
          <w:rFonts w:ascii="仿宋_GB2312" w:eastAsia="仿宋_GB2312" w:cs="仿宋" w:hint="eastAsia"/>
          <w:kern w:val="0"/>
          <w:sz w:val="32"/>
          <w:szCs w:val="32"/>
        </w:rPr>
        <w:t>宿</w:t>
      </w:r>
      <w:proofErr w:type="gramEnd"/>
      <w:r>
        <w:rPr>
          <w:rFonts w:ascii="仿宋_GB2312" w:eastAsia="仿宋_GB2312" w:cs="仿宋" w:hint="eastAsia"/>
          <w:kern w:val="0"/>
          <w:sz w:val="32"/>
          <w:szCs w:val="32"/>
        </w:rPr>
        <w:t>知名度和美誉度。</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①通过大赛新增文创和旅游商品品种数量≥</w:t>
      </w:r>
      <w:r>
        <w:rPr>
          <w:rFonts w:ascii="仿宋_GB2312" w:eastAsia="仿宋_GB2312" w:cs="仿宋" w:hint="eastAsia"/>
          <w:kern w:val="0"/>
          <w:sz w:val="32"/>
          <w:szCs w:val="32"/>
        </w:rPr>
        <w:t>50</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②推进全市</w:t>
      </w:r>
      <w:r>
        <w:rPr>
          <w:rFonts w:ascii="仿宋_GB2312" w:eastAsia="仿宋_GB2312" w:cs="仿宋" w:hint="eastAsia"/>
          <w:kern w:val="0"/>
          <w:sz w:val="32"/>
          <w:szCs w:val="32"/>
        </w:rPr>
        <w:t>A</w:t>
      </w:r>
      <w:r>
        <w:rPr>
          <w:rFonts w:ascii="仿宋_GB2312" w:eastAsia="仿宋_GB2312" w:cs="仿宋" w:hint="eastAsia"/>
          <w:kern w:val="0"/>
          <w:sz w:val="32"/>
          <w:szCs w:val="32"/>
        </w:rPr>
        <w:t>级景区品质全面提升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③新增精品民宿数量≥</w:t>
      </w:r>
      <w:r>
        <w:rPr>
          <w:rFonts w:ascii="仿宋_GB2312" w:eastAsia="仿宋_GB2312" w:cs="仿宋" w:hint="eastAsia"/>
          <w:kern w:val="0"/>
          <w:sz w:val="32"/>
          <w:szCs w:val="32"/>
        </w:rPr>
        <w:t>10</w:t>
      </w:r>
      <w:r>
        <w:rPr>
          <w:rFonts w:ascii="仿宋_GB2312" w:eastAsia="仿宋_GB2312" w:cs="仿宋" w:hint="eastAsia"/>
          <w:kern w:val="0"/>
          <w:sz w:val="32"/>
          <w:szCs w:val="32"/>
        </w:rPr>
        <w:t>个</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6</w:t>
      </w:r>
      <w:r>
        <w:rPr>
          <w:rFonts w:ascii="仿宋_GB2312" w:eastAsia="仿宋_GB2312" w:cs="仿宋" w:hint="eastAsia"/>
          <w:b/>
          <w:kern w:val="0"/>
          <w:sz w:val="32"/>
          <w:szCs w:val="32"/>
        </w:rPr>
        <w:t>）大力推动文化艺术繁荣发展</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绩效目标：进一步提升《浪淘沙</w:t>
      </w:r>
      <w:r>
        <w:rPr>
          <w:rFonts w:ascii="宋体" w:eastAsia="仿宋_GB2312" w:hAnsi="宋体" w:cs="宋体" w:hint="eastAsia"/>
          <w:kern w:val="0"/>
          <w:sz w:val="32"/>
          <w:szCs w:val="32"/>
        </w:rPr>
        <w:t>•</w:t>
      </w:r>
      <w:r>
        <w:rPr>
          <w:rFonts w:ascii="仿宋_GB2312" w:eastAsia="仿宋_GB2312" w:cs="仿宋" w:hint="eastAsia"/>
          <w:kern w:val="0"/>
          <w:sz w:val="32"/>
          <w:szCs w:val="32"/>
        </w:rPr>
        <w:t>北戴河》、渔岛《好莱坞特技秀》等文艺融合项目演艺水平。支持举办乐岛海豚音乐节、钢琴音乐会等活动。开展城市形象歌曲创作传唱，推出脍炙人口的秦皇岛主题歌曲。办好四季音乐会、月末戏院、群众大舞台、彩色周末、街头音乐文化人展示等各级各类群众文化活动。组织“七进”公益演出、“政府买单</w:t>
      </w:r>
      <w:r>
        <w:rPr>
          <w:rFonts w:ascii="宋体" w:eastAsia="仿宋_GB2312" w:hAnsi="宋体" w:cs="宋体" w:hint="eastAsia"/>
          <w:kern w:val="0"/>
          <w:sz w:val="32"/>
          <w:szCs w:val="32"/>
        </w:rPr>
        <w:t>•</w:t>
      </w:r>
      <w:r>
        <w:rPr>
          <w:rFonts w:ascii="仿宋_GB2312" w:eastAsia="仿宋_GB2312" w:cs="仿宋" w:hint="eastAsia"/>
          <w:kern w:val="0"/>
          <w:sz w:val="32"/>
          <w:szCs w:val="32"/>
        </w:rPr>
        <w:t>百姓看戏”、文化服务专家进企业进农村活动等</w:t>
      </w:r>
      <w:proofErr w:type="gramStart"/>
      <w:r>
        <w:rPr>
          <w:rFonts w:ascii="仿宋_GB2312" w:eastAsia="仿宋_GB2312" w:cs="仿宋" w:hint="eastAsia"/>
          <w:kern w:val="0"/>
          <w:sz w:val="32"/>
          <w:szCs w:val="32"/>
        </w:rPr>
        <w:t>一</w:t>
      </w:r>
      <w:proofErr w:type="gramEnd"/>
      <w:r>
        <w:rPr>
          <w:rFonts w:ascii="仿宋_GB2312" w:eastAsia="仿宋_GB2312" w:cs="仿宋" w:hint="eastAsia"/>
          <w:kern w:val="0"/>
          <w:sz w:val="32"/>
          <w:szCs w:val="32"/>
        </w:rPr>
        <w:t>批文化惠民工程，推进文化进景区、</w:t>
      </w:r>
      <w:proofErr w:type="gramStart"/>
      <w:r>
        <w:rPr>
          <w:rFonts w:ascii="仿宋_GB2312" w:eastAsia="仿宋_GB2312" w:cs="仿宋" w:hint="eastAsia"/>
          <w:kern w:val="0"/>
          <w:sz w:val="32"/>
          <w:szCs w:val="32"/>
        </w:rPr>
        <w:t>非遗进</w:t>
      </w:r>
      <w:r>
        <w:rPr>
          <w:rFonts w:ascii="仿宋_GB2312" w:eastAsia="仿宋_GB2312" w:cs="仿宋" w:hint="eastAsia"/>
          <w:kern w:val="0"/>
          <w:sz w:val="32"/>
          <w:szCs w:val="32"/>
        </w:rPr>
        <w:lastRenderedPageBreak/>
        <w:t>景区</w:t>
      </w:r>
      <w:proofErr w:type="gramEnd"/>
      <w:r>
        <w:rPr>
          <w:rFonts w:ascii="仿宋_GB2312" w:eastAsia="仿宋_GB2312" w:cs="仿宋" w:hint="eastAsia"/>
          <w:kern w:val="0"/>
          <w:sz w:val="32"/>
          <w:szCs w:val="32"/>
        </w:rPr>
        <w:t>等活动。组织</w:t>
      </w:r>
      <w:r w:rsidR="00214BF2" w:rsidRPr="00214BF2">
        <w:rPr>
          <w:rFonts w:ascii="仿宋_GB2312" w:eastAsia="仿宋_GB2312" w:cs="仿宋" w:hint="eastAsia"/>
          <w:kern w:val="0"/>
          <w:sz w:val="32"/>
          <w:szCs w:val="32"/>
        </w:rPr>
        <w:t>庆祝</w:t>
      </w:r>
      <w:bookmarkStart w:id="1" w:name="_GoBack"/>
      <w:bookmarkEnd w:id="1"/>
      <w:r>
        <w:rPr>
          <w:rFonts w:ascii="仿宋_GB2312" w:eastAsia="仿宋_GB2312" w:cs="仿宋" w:hint="eastAsia"/>
          <w:kern w:val="0"/>
          <w:sz w:val="32"/>
          <w:szCs w:val="32"/>
        </w:rPr>
        <w:t>建党</w:t>
      </w:r>
      <w:r>
        <w:rPr>
          <w:rFonts w:ascii="仿宋_GB2312" w:eastAsia="仿宋_GB2312" w:cs="仿宋" w:hint="eastAsia"/>
          <w:kern w:val="0"/>
          <w:sz w:val="32"/>
          <w:szCs w:val="32"/>
        </w:rPr>
        <w:t>100</w:t>
      </w:r>
      <w:r>
        <w:rPr>
          <w:rFonts w:ascii="仿宋_GB2312" w:eastAsia="仿宋_GB2312" w:cs="仿宋" w:hint="eastAsia"/>
          <w:kern w:val="0"/>
          <w:sz w:val="32"/>
          <w:szCs w:val="32"/>
        </w:rPr>
        <w:t>周年</w:t>
      </w:r>
      <w:r>
        <w:rPr>
          <w:rFonts w:ascii="仿宋_GB2312" w:eastAsia="仿宋_GB2312" w:cs="仿宋" w:hint="eastAsia"/>
          <w:kern w:val="0"/>
          <w:sz w:val="32"/>
          <w:szCs w:val="32"/>
        </w:rPr>
        <w:t>--</w:t>
      </w:r>
      <w:r>
        <w:rPr>
          <w:rFonts w:ascii="仿宋_GB2312" w:eastAsia="仿宋_GB2312" w:cs="仿宋" w:hint="eastAsia"/>
          <w:kern w:val="0"/>
          <w:sz w:val="32"/>
          <w:szCs w:val="32"/>
        </w:rPr>
        <w:t>群众文艺展演、广场舞大赛和万人歌咏比赛，创排、演出评剧现代戏《五峰情》，专业艺术展览，</w:t>
      </w:r>
      <w:r>
        <w:rPr>
          <w:rFonts w:ascii="仿宋_GB2312" w:eastAsia="仿宋_GB2312" w:cs="仿宋" w:hint="eastAsia"/>
          <w:kern w:val="0"/>
          <w:sz w:val="32"/>
          <w:szCs w:val="32"/>
        </w:rPr>
        <w:t>高院系列艺术展演。继续开展“春雨工程”志愿者边疆行活动。组织春节联欢晚会、第八届群众文化艺术节、第十二届读书节、第四届经典传承大赛、第五届朗诵大会。吸引更多的市民走进图书馆，利用图书馆，提高图书馆的利用率，最大限度地发挥图书馆的社会教育职能，并组织开展“燕赵少年读书”“经典诵读比赛”“图书馆服务宣传周”等全民阅读活动，满足市民的文化需求，做好迎接国家公共文化服务体系示范区复检、第七次全国县级以上公共图书馆评估定级工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①新舞台艺术作品演出数量（台）≥</w:t>
      </w:r>
      <w:r>
        <w:rPr>
          <w:rFonts w:ascii="仿宋_GB2312" w:eastAsia="仿宋_GB2312" w:cs="仿宋" w:hint="eastAsia"/>
          <w:kern w:val="0"/>
          <w:sz w:val="32"/>
          <w:szCs w:val="32"/>
        </w:rPr>
        <w:t>2</w:t>
      </w:r>
      <w:r>
        <w:rPr>
          <w:rFonts w:ascii="仿宋_GB2312" w:eastAsia="仿宋_GB2312" w:cs="仿宋" w:hint="eastAsia"/>
          <w:kern w:val="0"/>
          <w:sz w:val="32"/>
          <w:szCs w:val="32"/>
        </w:rPr>
        <w:t>台</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②舞台艺术作品创作数量（台）≥</w:t>
      </w:r>
      <w:r>
        <w:rPr>
          <w:rFonts w:ascii="仿宋_GB2312" w:eastAsia="仿宋_GB2312" w:cs="仿宋" w:hint="eastAsia"/>
          <w:kern w:val="0"/>
          <w:sz w:val="32"/>
          <w:szCs w:val="32"/>
        </w:rPr>
        <w:t>3</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w:t>
      </w:r>
      <w:r>
        <w:rPr>
          <w:rFonts w:ascii="仿宋_GB2312" w:eastAsia="仿宋_GB2312" w:cs="仿宋" w:hint="eastAsia"/>
          <w:kern w:val="0"/>
          <w:sz w:val="32"/>
          <w:szCs w:val="32"/>
        </w:rPr>
        <w:t>创作美术作品并展示数量≥</w:t>
      </w:r>
      <w:r>
        <w:rPr>
          <w:rFonts w:ascii="仿宋_GB2312" w:eastAsia="仿宋_GB2312" w:cs="仿宋" w:hint="eastAsia"/>
          <w:kern w:val="0"/>
          <w:sz w:val="32"/>
          <w:szCs w:val="32"/>
        </w:rPr>
        <w:t>5</w:t>
      </w:r>
      <w:r>
        <w:rPr>
          <w:rFonts w:ascii="仿宋_GB2312" w:eastAsia="仿宋_GB2312" w:cs="仿宋" w:hint="eastAsia"/>
          <w:kern w:val="0"/>
          <w:sz w:val="32"/>
          <w:szCs w:val="32"/>
        </w:rPr>
        <w:t>个</w:t>
      </w:r>
      <w:r>
        <w:rPr>
          <w:rFonts w:ascii="仿宋_GB2312" w:eastAsia="仿宋_GB2312" w:cs="仿宋" w:hint="eastAsia"/>
          <w:kern w:val="0"/>
          <w:sz w:val="32"/>
          <w:szCs w:val="32"/>
        </w:rPr>
        <w:t xml:space="preserve">  </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④“七进”公益演出≥</w:t>
      </w:r>
      <w:r>
        <w:rPr>
          <w:rFonts w:ascii="仿宋_GB2312" w:eastAsia="仿宋_GB2312" w:cs="仿宋" w:hint="eastAsia"/>
          <w:kern w:val="0"/>
          <w:sz w:val="32"/>
          <w:szCs w:val="32"/>
        </w:rPr>
        <w:t>600</w:t>
      </w:r>
      <w:r>
        <w:rPr>
          <w:rFonts w:ascii="仿宋_GB2312" w:eastAsia="仿宋_GB2312" w:cs="仿宋" w:hint="eastAsia"/>
          <w:kern w:val="0"/>
          <w:sz w:val="32"/>
          <w:szCs w:val="32"/>
        </w:rPr>
        <w:t>场次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⑤新书采购种类≥</w:t>
      </w:r>
      <w:r>
        <w:rPr>
          <w:rFonts w:ascii="仿宋_GB2312" w:eastAsia="仿宋_GB2312" w:cs="仿宋" w:hint="eastAsia"/>
          <w:kern w:val="0"/>
          <w:sz w:val="32"/>
          <w:szCs w:val="32"/>
        </w:rPr>
        <w:t>1.2</w:t>
      </w:r>
      <w:r>
        <w:rPr>
          <w:rFonts w:ascii="仿宋_GB2312" w:eastAsia="仿宋_GB2312" w:cs="仿宋" w:hint="eastAsia"/>
          <w:kern w:val="0"/>
          <w:sz w:val="32"/>
          <w:szCs w:val="32"/>
        </w:rPr>
        <w:t>万种</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⑥新书采购数量≥</w:t>
      </w:r>
      <w:r>
        <w:rPr>
          <w:rFonts w:ascii="仿宋_GB2312" w:eastAsia="仿宋_GB2312" w:cs="仿宋" w:hint="eastAsia"/>
          <w:kern w:val="0"/>
          <w:sz w:val="32"/>
          <w:szCs w:val="32"/>
        </w:rPr>
        <w:t>2.2</w:t>
      </w:r>
      <w:r>
        <w:rPr>
          <w:rFonts w:ascii="仿宋_GB2312" w:eastAsia="仿宋_GB2312" w:cs="仿宋" w:hint="eastAsia"/>
          <w:kern w:val="0"/>
          <w:sz w:val="32"/>
          <w:szCs w:val="32"/>
        </w:rPr>
        <w:t>万册</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⑦报刊品种数量≥</w:t>
      </w:r>
      <w:r>
        <w:rPr>
          <w:rFonts w:ascii="仿宋_GB2312" w:eastAsia="仿宋_GB2312" w:cs="仿宋" w:hint="eastAsia"/>
          <w:kern w:val="0"/>
          <w:sz w:val="32"/>
          <w:szCs w:val="32"/>
        </w:rPr>
        <w:t>800</w:t>
      </w:r>
      <w:r>
        <w:rPr>
          <w:rFonts w:ascii="仿宋_GB2312" w:eastAsia="仿宋_GB2312" w:cs="仿宋" w:hint="eastAsia"/>
          <w:kern w:val="0"/>
          <w:sz w:val="32"/>
          <w:szCs w:val="32"/>
        </w:rPr>
        <w:t>种</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⑧全民阅读活动场次≥</w:t>
      </w:r>
      <w:r>
        <w:rPr>
          <w:rFonts w:ascii="仿宋_GB2312" w:eastAsia="仿宋_GB2312" w:cs="仿宋" w:hint="eastAsia"/>
          <w:kern w:val="0"/>
          <w:sz w:val="32"/>
          <w:szCs w:val="32"/>
        </w:rPr>
        <w:t>230</w:t>
      </w:r>
      <w:r>
        <w:rPr>
          <w:rFonts w:ascii="仿宋_GB2312" w:eastAsia="仿宋_GB2312" w:cs="仿宋" w:hint="eastAsia"/>
          <w:kern w:val="0"/>
          <w:sz w:val="32"/>
          <w:szCs w:val="32"/>
        </w:rPr>
        <w:t>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⑨全民阅读活动参与</w:t>
      </w:r>
      <w:proofErr w:type="gramStart"/>
      <w:r>
        <w:rPr>
          <w:rFonts w:ascii="仿宋_GB2312" w:eastAsia="仿宋_GB2312" w:cs="仿宋" w:hint="eastAsia"/>
          <w:kern w:val="0"/>
          <w:sz w:val="32"/>
          <w:szCs w:val="32"/>
        </w:rPr>
        <w:t>人次≥</w:t>
      </w:r>
      <w:proofErr w:type="gramEnd"/>
      <w:r>
        <w:rPr>
          <w:rFonts w:ascii="仿宋_GB2312" w:eastAsia="仿宋_GB2312" w:cs="仿宋" w:hint="eastAsia"/>
          <w:kern w:val="0"/>
          <w:sz w:val="32"/>
          <w:szCs w:val="32"/>
        </w:rPr>
        <w:t>3</w:t>
      </w:r>
      <w:r>
        <w:rPr>
          <w:rFonts w:ascii="仿宋_GB2312" w:eastAsia="仿宋_GB2312" w:cs="仿宋" w:hint="eastAsia"/>
          <w:kern w:val="0"/>
          <w:sz w:val="32"/>
          <w:szCs w:val="32"/>
        </w:rPr>
        <w:t>万人次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⑩服务读者</w:t>
      </w:r>
      <w:proofErr w:type="gramStart"/>
      <w:r>
        <w:rPr>
          <w:rFonts w:ascii="仿宋_GB2312" w:eastAsia="仿宋_GB2312" w:cs="仿宋" w:hint="eastAsia"/>
          <w:kern w:val="0"/>
          <w:sz w:val="32"/>
          <w:szCs w:val="32"/>
        </w:rPr>
        <w:t>人次≥</w:t>
      </w:r>
      <w:proofErr w:type="gramEnd"/>
      <w:r>
        <w:rPr>
          <w:rFonts w:ascii="仿宋_GB2312" w:eastAsia="仿宋_GB2312" w:cs="仿宋" w:hint="eastAsia"/>
          <w:kern w:val="0"/>
          <w:sz w:val="32"/>
          <w:szCs w:val="32"/>
        </w:rPr>
        <w:t>16</w:t>
      </w:r>
      <w:r>
        <w:rPr>
          <w:rFonts w:ascii="仿宋_GB2312" w:eastAsia="仿宋_GB2312" w:cs="仿宋" w:hint="eastAsia"/>
          <w:kern w:val="0"/>
          <w:sz w:val="32"/>
          <w:szCs w:val="32"/>
        </w:rPr>
        <w:t>万人次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 w:hAnsi="仿宋_GB2312" w:cs="Cambria Math" w:hint="eastAsia"/>
          <w:kern w:val="0"/>
          <w:sz w:val="32"/>
          <w:szCs w:val="32"/>
        </w:rPr>
        <w:t>⑪</w:t>
      </w:r>
      <w:r>
        <w:rPr>
          <w:rFonts w:ascii="仿宋_GB2312" w:eastAsia="仿宋_GB2312" w:cs="仿宋" w:hint="eastAsia"/>
          <w:kern w:val="0"/>
          <w:sz w:val="32"/>
          <w:szCs w:val="32"/>
        </w:rPr>
        <w:t>书刊外借册次≥</w:t>
      </w:r>
      <w:r>
        <w:rPr>
          <w:rFonts w:ascii="仿宋_GB2312" w:eastAsia="仿宋_GB2312" w:cs="仿宋" w:hint="eastAsia"/>
          <w:kern w:val="0"/>
          <w:sz w:val="32"/>
          <w:szCs w:val="32"/>
        </w:rPr>
        <w:t>38</w:t>
      </w:r>
      <w:r>
        <w:rPr>
          <w:rFonts w:ascii="仿宋_GB2312" w:eastAsia="仿宋_GB2312" w:cs="仿宋" w:hint="eastAsia"/>
          <w:kern w:val="0"/>
          <w:sz w:val="32"/>
          <w:szCs w:val="32"/>
        </w:rPr>
        <w:t>万册次</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7</w:t>
      </w:r>
      <w:r>
        <w:rPr>
          <w:rFonts w:ascii="仿宋_GB2312" w:eastAsia="仿宋_GB2312" w:cs="仿宋" w:hint="eastAsia"/>
          <w:b/>
          <w:kern w:val="0"/>
          <w:sz w:val="32"/>
          <w:szCs w:val="32"/>
        </w:rPr>
        <w:t>）加快构建现代旅游和文化公共服务体系</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绩效目标：深入推进旅游厕所革命</w:t>
      </w:r>
      <w:r>
        <w:rPr>
          <w:rFonts w:ascii="仿宋_GB2312" w:eastAsia="仿宋_GB2312" w:cs="仿宋" w:hint="eastAsia"/>
          <w:color w:val="FF0000"/>
          <w:kern w:val="0"/>
          <w:sz w:val="32"/>
          <w:szCs w:val="32"/>
        </w:rPr>
        <w:t>。</w:t>
      </w:r>
      <w:r>
        <w:rPr>
          <w:rFonts w:ascii="仿宋_GB2312" w:eastAsia="仿宋_GB2312" w:cs="仿宋" w:hint="eastAsia"/>
          <w:kern w:val="0"/>
          <w:sz w:val="32"/>
          <w:szCs w:val="32"/>
        </w:rPr>
        <w:t>加强旅游标识牌标准化</w:t>
      </w:r>
      <w:r>
        <w:rPr>
          <w:rFonts w:ascii="仿宋_GB2312" w:eastAsia="仿宋_GB2312" w:cs="仿宋" w:hint="eastAsia"/>
          <w:kern w:val="0"/>
          <w:sz w:val="32"/>
          <w:szCs w:val="32"/>
        </w:rPr>
        <w:lastRenderedPageBreak/>
        <w:t>改造</w:t>
      </w:r>
      <w:r>
        <w:rPr>
          <w:rFonts w:ascii="仿宋_GB2312" w:eastAsia="仿宋_GB2312" w:cs="仿宋" w:hint="eastAsia"/>
          <w:color w:val="FF0000"/>
          <w:kern w:val="0"/>
          <w:sz w:val="32"/>
          <w:szCs w:val="32"/>
        </w:rPr>
        <w:t>。</w:t>
      </w:r>
      <w:r>
        <w:rPr>
          <w:rFonts w:ascii="仿宋_GB2312" w:eastAsia="仿宋_GB2312" w:cs="仿宋" w:hint="eastAsia"/>
          <w:kern w:val="0"/>
          <w:sz w:val="32"/>
          <w:szCs w:val="32"/>
        </w:rPr>
        <w:t>完善游客服务中心游客服务功能。按照国家公共文化服务体系示范区复核标准，围绕短板抓提升，提升乡镇（街道）综合文化站和村（社区）综合文化服务中心服务水平，提升</w:t>
      </w:r>
      <w:proofErr w:type="gramStart"/>
      <w:r>
        <w:rPr>
          <w:rFonts w:ascii="仿宋_GB2312" w:eastAsia="仿宋_GB2312" w:cs="仿宋" w:hint="eastAsia"/>
          <w:kern w:val="0"/>
          <w:sz w:val="32"/>
          <w:szCs w:val="32"/>
        </w:rPr>
        <w:t>公共文旅数字化</w:t>
      </w:r>
      <w:proofErr w:type="gramEnd"/>
      <w:r>
        <w:rPr>
          <w:rFonts w:ascii="仿宋_GB2312" w:eastAsia="仿宋_GB2312" w:cs="仿宋" w:hint="eastAsia"/>
          <w:kern w:val="0"/>
          <w:sz w:val="32"/>
          <w:szCs w:val="32"/>
        </w:rPr>
        <w:t>水平。加快推进文化馆、图书馆标准化建设。组织海上音乐厅维修。加快市博物馆（美术馆）建设，确保年内对外开放。</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①标识标牌建设及游客服务中心建设任务完成率≥</w:t>
      </w:r>
      <w:r>
        <w:rPr>
          <w:rFonts w:ascii="仿宋_GB2312" w:eastAsia="仿宋_GB2312" w:cs="仿宋" w:hint="eastAsia"/>
          <w:kern w:val="0"/>
          <w:sz w:val="32"/>
          <w:szCs w:val="32"/>
        </w:rPr>
        <w:t>50%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②国家公共文化服务体系验收达标≥</w:t>
      </w:r>
      <w:r>
        <w:rPr>
          <w:rFonts w:ascii="仿宋_GB2312" w:eastAsia="仿宋_GB2312" w:cs="仿宋" w:hint="eastAsia"/>
          <w:kern w:val="0"/>
          <w:sz w:val="32"/>
          <w:szCs w:val="32"/>
        </w:rPr>
        <w:t>90%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③舞台艺术作品创作数量（台）≥</w:t>
      </w:r>
      <w:r>
        <w:rPr>
          <w:rFonts w:ascii="仿宋_GB2312" w:eastAsia="仿宋_GB2312" w:cs="仿宋" w:hint="eastAsia"/>
          <w:kern w:val="0"/>
          <w:sz w:val="32"/>
          <w:szCs w:val="32"/>
        </w:rPr>
        <w:t>3</w:t>
      </w:r>
      <w:r>
        <w:rPr>
          <w:rFonts w:ascii="仿宋_GB2312" w:eastAsia="仿宋_GB2312" w:cs="仿宋" w:hint="eastAsia"/>
          <w:kern w:val="0"/>
          <w:sz w:val="32"/>
          <w:szCs w:val="32"/>
        </w:rPr>
        <w:t>台</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④创作美术作品并展示数量≥</w:t>
      </w:r>
      <w:r>
        <w:rPr>
          <w:rFonts w:ascii="仿宋_GB2312" w:eastAsia="仿宋_GB2312" w:cs="仿宋" w:hint="eastAsia"/>
          <w:kern w:val="0"/>
          <w:sz w:val="32"/>
          <w:szCs w:val="32"/>
        </w:rPr>
        <w:t>5</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⑤完成博物馆（美术馆）建设任务</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8</w:t>
      </w:r>
      <w:r>
        <w:rPr>
          <w:rFonts w:ascii="仿宋_GB2312" w:eastAsia="仿宋_GB2312" w:cs="仿宋" w:hint="eastAsia"/>
          <w:b/>
          <w:kern w:val="0"/>
          <w:sz w:val="32"/>
          <w:szCs w:val="32"/>
        </w:rPr>
        <w:t>）大力整治规范旅游和文化市场</w:t>
      </w:r>
      <w:r>
        <w:rPr>
          <w:rFonts w:ascii="仿宋_GB2312" w:eastAsia="仿宋_GB2312" w:cs="仿宋" w:hint="eastAsia"/>
          <w:b/>
          <w:kern w:val="0"/>
          <w:sz w:val="32"/>
          <w:szCs w:val="32"/>
        </w:rPr>
        <w:t>秩序</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w:t>
      </w:r>
      <w:proofErr w:type="gramStart"/>
      <w:r>
        <w:rPr>
          <w:rFonts w:ascii="仿宋_GB2312" w:eastAsia="仿宋_GB2312" w:cs="仿宋" w:hint="eastAsia"/>
          <w:kern w:val="0"/>
          <w:sz w:val="32"/>
          <w:szCs w:val="32"/>
        </w:rPr>
        <w:t>深化文旅市场</w:t>
      </w:r>
      <w:proofErr w:type="gramEnd"/>
      <w:r>
        <w:rPr>
          <w:rFonts w:ascii="仿宋_GB2312" w:eastAsia="仿宋_GB2312" w:cs="仿宋" w:hint="eastAsia"/>
          <w:kern w:val="0"/>
          <w:sz w:val="32"/>
          <w:szCs w:val="32"/>
        </w:rPr>
        <w:t>综合执法改革，组织</w:t>
      </w:r>
      <w:proofErr w:type="gramStart"/>
      <w:r>
        <w:rPr>
          <w:rFonts w:ascii="仿宋_GB2312" w:eastAsia="仿宋_GB2312" w:cs="仿宋" w:hint="eastAsia"/>
          <w:kern w:val="0"/>
          <w:sz w:val="32"/>
          <w:szCs w:val="32"/>
        </w:rPr>
        <w:t>开展文旅市场</w:t>
      </w:r>
      <w:proofErr w:type="gramEnd"/>
      <w:r>
        <w:rPr>
          <w:rFonts w:ascii="仿宋_GB2312" w:eastAsia="仿宋_GB2312" w:cs="仿宋" w:hint="eastAsia"/>
          <w:kern w:val="0"/>
          <w:sz w:val="32"/>
          <w:szCs w:val="32"/>
        </w:rPr>
        <w:t>执法队伍培训，加强执法队伍建设。持续扩大“阳光娱乐”活动影响力，推动文化娱乐行业转型升级。加强旅游和文化市场监管体系建设，着力提升基层市场监管效能。深入开展旅游和文化行业市场专项整治行动，严厉打击各类扰乱旅游和文化市场秩序违法违规经营行为，全面</w:t>
      </w:r>
      <w:proofErr w:type="gramStart"/>
      <w:r>
        <w:rPr>
          <w:rFonts w:ascii="仿宋_GB2312" w:eastAsia="仿宋_GB2312" w:cs="仿宋" w:hint="eastAsia"/>
          <w:kern w:val="0"/>
          <w:sz w:val="32"/>
          <w:szCs w:val="32"/>
        </w:rPr>
        <w:t>提升文旅市场</w:t>
      </w:r>
      <w:proofErr w:type="gramEnd"/>
      <w:r>
        <w:rPr>
          <w:rFonts w:ascii="仿宋_GB2312" w:eastAsia="仿宋_GB2312" w:cs="仿宋" w:hint="eastAsia"/>
          <w:kern w:val="0"/>
          <w:sz w:val="32"/>
          <w:szCs w:val="32"/>
        </w:rPr>
        <w:t>服务质量和水平。进一步完善安全生产监管应急管理体系，不断修订完善各类应急预案和专项方案，有效防范和坚决遏制各类安全事故的发生。</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①全市旅游和文化市场执法人员培训完成率≥</w:t>
      </w:r>
      <w:r>
        <w:rPr>
          <w:rFonts w:ascii="仿宋_GB2312" w:eastAsia="仿宋_GB2312" w:cs="仿宋" w:hint="eastAsia"/>
          <w:kern w:val="0"/>
          <w:sz w:val="32"/>
          <w:szCs w:val="32"/>
        </w:rPr>
        <w:t>80%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②全市旅游景区和星级饭店垃圾分类工作完成率≥</w:t>
      </w:r>
      <w:r>
        <w:rPr>
          <w:rFonts w:ascii="仿宋_GB2312" w:eastAsia="仿宋_GB2312" w:cs="仿宋" w:hint="eastAsia"/>
          <w:kern w:val="0"/>
          <w:sz w:val="32"/>
          <w:szCs w:val="32"/>
        </w:rPr>
        <w:t>90%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③发布全市旅游和文化红黑榜数≥</w:t>
      </w:r>
      <w:r>
        <w:rPr>
          <w:rFonts w:ascii="仿宋_GB2312" w:eastAsia="仿宋_GB2312" w:cs="仿宋" w:hint="eastAsia"/>
          <w:kern w:val="0"/>
          <w:sz w:val="32"/>
          <w:szCs w:val="32"/>
        </w:rPr>
        <w:t>4</w:t>
      </w:r>
      <w:r>
        <w:rPr>
          <w:rFonts w:ascii="仿宋_GB2312" w:eastAsia="仿宋_GB2312" w:cs="仿宋" w:hint="eastAsia"/>
          <w:kern w:val="0"/>
          <w:sz w:val="32"/>
          <w:szCs w:val="32"/>
        </w:rPr>
        <w:t>期</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lastRenderedPageBreak/>
        <w:t>④完成隐患排查和风险管控“双控”工作数量≥</w:t>
      </w:r>
      <w:r>
        <w:rPr>
          <w:rFonts w:ascii="仿宋_GB2312" w:eastAsia="仿宋_GB2312" w:cs="仿宋" w:hint="eastAsia"/>
          <w:kern w:val="0"/>
          <w:sz w:val="32"/>
          <w:szCs w:val="32"/>
        </w:rPr>
        <w:t>50</w:t>
      </w:r>
      <w:r>
        <w:rPr>
          <w:rFonts w:ascii="仿宋_GB2312" w:eastAsia="仿宋_GB2312" w:cs="仿宋" w:hint="eastAsia"/>
          <w:kern w:val="0"/>
          <w:sz w:val="32"/>
          <w:szCs w:val="32"/>
        </w:rPr>
        <w:t>家</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⑤从业人员安全教育培训人数≥</w:t>
      </w:r>
      <w:r>
        <w:rPr>
          <w:rFonts w:ascii="仿宋_GB2312" w:eastAsia="仿宋_GB2312" w:cs="仿宋" w:hint="eastAsia"/>
          <w:kern w:val="0"/>
          <w:sz w:val="32"/>
          <w:szCs w:val="32"/>
        </w:rPr>
        <w:t>2000</w:t>
      </w:r>
      <w:r>
        <w:rPr>
          <w:rFonts w:ascii="仿宋_GB2312" w:eastAsia="仿宋_GB2312" w:cs="仿宋" w:hint="eastAsia"/>
          <w:kern w:val="0"/>
          <w:sz w:val="32"/>
          <w:szCs w:val="32"/>
        </w:rPr>
        <w:t>人</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9</w:t>
      </w:r>
      <w:r>
        <w:rPr>
          <w:rFonts w:ascii="仿宋_GB2312" w:eastAsia="仿宋_GB2312" w:cs="仿宋" w:hint="eastAsia"/>
          <w:b/>
          <w:kern w:val="0"/>
          <w:sz w:val="32"/>
          <w:szCs w:val="32"/>
        </w:rPr>
        <w:t>）培育秦皇岛旅游文化品牌</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绩效目标：培育秦皇岛旅游文化品牌，全面提升秦皇岛旅游的知名度、美誉度和影响力，提升旅游整体形象。坚持国际市场与国内市场并重，积极拓展宣传营销新渠道，通过“主流媒体</w:t>
      </w:r>
      <w:r>
        <w:rPr>
          <w:rFonts w:ascii="仿宋_GB2312" w:eastAsia="仿宋_GB2312" w:cs="仿宋" w:hint="eastAsia"/>
          <w:kern w:val="0"/>
          <w:sz w:val="32"/>
          <w:szCs w:val="32"/>
        </w:rPr>
        <w:t>+</w:t>
      </w:r>
      <w:r>
        <w:rPr>
          <w:rFonts w:ascii="仿宋_GB2312" w:eastAsia="仿宋_GB2312" w:cs="仿宋" w:hint="eastAsia"/>
          <w:kern w:val="0"/>
          <w:sz w:val="32"/>
          <w:szCs w:val="32"/>
        </w:rPr>
        <w:t>新媒体</w:t>
      </w:r>
      <w:r>
        <w:rPr>
          <w:rFonts w:ascii="仿宋_GB2312" w:eastAsia="仿宋_GB2312" w:cs="仿宋" w:hint="eastAsia"/>
          <w:kern w:val="0"/>
          <w:sz w:val="32"/>
          <w:szCs w:val="32"/>
        </w:rPr>
        <w:t>+</w:t>
      </w:r>
      <w:r>
        <w:rPr>
          <w:rFonts w:ascii="仿宋_GB2312" w:eastAsia="仿宋_GB2312" w:cs="仿宋" w:hint="eastAsia"/>
          <w:kern w:val="0"/>
          <w:sz w:val="32"/>
          <w:szCs w:val="32"/>
        </w:rPr>
        <w:t>自媒体”多渠道宣传营销方式，打造宣传矩阵，稳定近距离及周边客源市场，积极开发中远程客源市场。进一步打响“秦皇山海</w:t>
      </w:r>
      <w:r>
        <w:rPr>
          <w:rFonts w:ascii="宋体" w:eastAsia="仿宋_GB2312" w:hAnsi="宋体" w:cs="宋体" w:hint="eastAsia"/>
          <w:kern w:val="0"/>
          <w:sz w:val="32"/>
          <w:szCs w:val="32"/>
        </w:rPr>
        <w:t>•</w:t>
      </w:r>
      <w:r>
        <w:rPr>
          <w:rFonts w:ascii="仿宋_GB2312" w:eastAsia="仿宋_GB2312" w:cs="仿宋" w:hint="eastAsia"/>
          <w:kern w:val="0"/>
          <w:sz w:val="32"/>
          <w:szCs w:val="32"/>
        </w:rPr>
        <w:t>康养福地”旅游品牌。</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①央视广告发布不少于两个季度，播放次数≥</w:t>
      </w:r>
      <w:r>
        <w:rPr>
          <w:rFonts w:ascii="仿宋_GB2312" w:eastAsia="仿宋_GB2312" w:cs="仿宋" w:hint="eastAsia"/>
          <w:kern w:val="0"/>
          <w:sz w:val="32"/>
          <w:szCs w:val="32"/>
        </w:rPr>
        <w:t>100</w:t>
      </w:r>
      <w:r>
        <w:rPr>
          <w:rFonts w:ascii="仿宋_GB2312" w:eastAsia="仿宋_GB2312" w:cs="仿宋" w:hint="eastAsia"/>
          <w:kern w:val="0"/>
          <w:sz w:val="32"/>
          <w:szCs w:val="32"/>
        </w:rPr>
        <w:t>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②重点客源市场旅游文化宣传促销活动≥</w:t>
      </w:r>
      <w:r>
        <w:rPr>
          <w:rFonts w:ascii="仿宋_GB2312" w:eastAsia="仿宋_GB2312" w:cs="仿宋" w:hint="eastAsia"/>
          <w:kern w:val="0"/>
          <w:sz w:val="32"/>
          <w:szCs w:val="32"/>
        </w:rPr>
        <w:t>5</w:t>
      </w:r>
      <w:r>
        <w:rPr>
          <w:rFonts w:ascii="仿宋_GB2312" w:eastAsia="仿宋_GB2312" w:cs="仿宋" w:hint="eastAsia"/>
          <w:kern w:val="0"/>
          <w:sz w:val="32"/>
          <w:szCs w:val="32"/>
        </w:rPr>
        <w:t>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③推出品牌旅游线路≥</w:t>
      </w:r>
      <w:r>
        <w:rPr>
          <w:rFonts w:ascii="仿宋_GB2312" w:eastAsia="仿宋_GB2312" w:cs="仿宋" w:hint="eastAsia"/>
          <w:kern w:val="0"/>
          <w:sz w:val="32"/>
          <w:szCs w:val="32"/>
        </w:rPr>
        <w:t>5</w:t>
      </w:r>
      <w:r>
        <w:rPr>
          <w:rFonts w:ascii="仿宋_GB2312" w:eastAsia="仿宋_GB2312" w:cs="仿宋" w:hint="eastAsia"/>
          <w:kern w:val="0"/>
          <w:sz w:val="32"/>
          <w:szCs w:val="32"/>
        </w:rPr>
        <w:t>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④官方微信、</w:t>
      </w:r>
      <w:proofErr w:type="gramStart"/>
      <w:r>
        <w:rPr>
          <w:rFonts w:ascii="仿宋_GB2312" w:eastAsia="仿宋_GB2312" w:cs="仿宋" w:hint="eastAsia"/>
          <w:kern w:val="0"/>
          <w:sz w:val="32"/>
          <w:szCs w:val="32"/>
        </w:rPr>
        <w:t>微博公众号</w:t>
      </w:r>
      <w:proofErr w:type="gramEnd"/>
      <w:r>
        <w:rPr>
          <w:rFonts w:ascii="仿宋_GB2312" w:eastAsia="仿宋_GB2312" w:cs="仿宋" w:hint="eastAsia"/>
          <w:kern w:val="0"/>
          <w:sz w:val="32"/>
          <w:szCs w:val="32"/>
        </w:rPr>
        <w:t>推送信息≥</w:t>
      </w:r>
      <w:r>
        <w:rPr>
          <w:rFonts w:ascii="仿宋_GB2312" w:eastAsia="仿宋_GB2312" w:cs="仿宋" w:hint="eastAsia"/>
          <w:kern w:val="0"/>
          <w:sz w:val="32"/>
          <w:szCs w:val="32"/>
        </w:rPr>
        <w:t>500</w:t>
      </w:r>
      <w:r>
        <w:rPr>
          <w:rFonts w:ascii="仿宋_GB2312" w:eastAsia="仿宋_GB2312" w:cs="仿宋" w:hint="eastAsia"/>
          <w:kern w:val="0"/>
          <w:sz w:val="32"/>
          <w:szCs w:val="32"/>
        </w:rPr>
        <w:t>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⑤印制发放各类旅游宣传品≥</w:t>
      </w:r>
      <w:r>
        <w:rPr>
          <w:rFonts w:ascii="仿宋_GB2312" w:eastAsia="仿宋_GB2312" w:cs="仿宋" w:hint="eastAsia"/>
          <w:kern w:val="0"/>
          <w:sz w:val="32"/>
          <w:szCs w:val="32"/>
        </w:rPr>
        <w:t>5000</w:t>
      </w:r>
      <w:r>
        <w:rPr>
          <w:rFonts w:ascii="仿宋_GB2312" w:eastAsia="仿宋_GB2312" w:cs="仿宋" w:hint="eastAsia"/>
          <w:kern w:val="0"/>
          <w:sz w:val="32"/>
          <w:szCs w:val="32"/>
        </w:rPr>
        <w:t>册</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10</w:t>
      </w:r>
      <w:r>
        <w:rPr>
          <w:rFonts w:ascii="仿宋_GB2312" w:eastAsia="仿宋_GB2312" w:cs="仿宋" w:hint="eastAsia"/>
          <w:b/>
          <w:kern w:val="0"/>
          <w:sz w:val="32"/>
          <w:szCs w:val="32"/>
        </w:rPr>
        <w:t>）加强文化遗产保护传承利用</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绩效目标：全力推进市博物馆建设。组织国际博物馆日、中国文化遗产日、秦皇岛长城保护日宣传活动。推进长城文物和文化资源挖掘整理与展示传播项目，完成板</w:t>
      </w:r>
      <w:proofErr w:type="gramStart"/>
      <w:r>
        <w:rPr>
          <w:rFonts w:ascii="仿宋_GB2312" w:eastAsia="仿宋_GB2312" w:cs="仿宋" w:hint="eastAsia"/>
          <w:kern w:val="0"/>
          <w:sz w:val="32"/>
          <w:szCs w:val="32"/>
        </w:rPr>
        <w:t>厂峪窑址群</w:t>
      </w:r>
      <w:proofErr w:type="gramEnd"/>
      <w:r>
        <w:rPr>
          <w:rFonts w:ascii="仿宋_GB2312" w:eastAsia="仿宋_GB2312" w:cs="仿宋" w:hint="eastAsia"/>
          <w:kern w:val="0"/>
          <w:sz w:val="32"/>
          <w:szCs w:val="32"/>
        </w:rPr>
        <w:t>数字化展示项目。实现非遗传</w:t>
      </w:r>
      <w:proofErr w:type="gramStart"/>
      <w:r>
        <w:rPr>
          <w:rFonts w:ascii="仿宋_GB2312" w:eastAsia="仿宋_GB2312" w:cs="仿宋" w:hint="eastAsia"/>
          <w:kern w:val="0"/>
          <w:sz w:val="32"/>
          <w:szCs w:val="32"/>
        </w:rPr>
        <w:t>习馆投入</w:t>
      </w:r>
      <w:proofErr w:type="gramEnd"/>
      <w:r>
        <w:rPr>
          <w:rFonts w:ascii="仿宋_GB2312" w:eastAsia="仿宋_GB2312" w:cs="仿宋" w:hint="eastAsia"/>
          <w:kern w:val="0"/>
          <w:sz w:val="32"/>
          <w:szCs w:val="32"/>
        </w:rPr>
        <w:t>运营。开展</w:t>
      </w:r>
      <w:proofErr w:type="gramStart"/>
      <w:r>
        <w:rPr>
          <w:rFonts w:ascii="仿宋_GB2312" w:eastAsia="仿宋_GB2312" w:cs="仿宋" w:hint="eastAsia"/>
          <w:kern w:val="0"/>
          <w:sz w:val="32"/>
          <w:szCs w:val="32"/>
        </w:rPr>
        <w:t>非遗进学校</w:t>
      </w:r>
      <w:proofErr w:type="gramEnd"/>
      <w:r>
        <w:rPr>
          <w:rFonts w:ascii="仿宋_GB2312" w:eastAsia="仿宋_GB2312" w:cs="仿宋" w:hint="eastAsia"/>
          <w:kern w:val="0"/>
          <w:sz w:val="32"/>
          <w:szCs w:val="32"/>
        </w:rPr>
        <w:t>、进社区、进景区活动。推进《秦皇岛市非</w:t>
      </w:r>
      <w:r>
        <w:rPr>
          <w:rFonts w:ascii="仿宋_GB2312" w:eastAsia="仿宋_GB2312" w:cs="仿宋" w:hint="eastAsia"/>
          <w:kern w:val="0"/>
          <w:sz w:val="32"/>
          <w:szCs w:val="32"/>
        </w:rPr>
        <w:t>物质文化遗产保护条例》立法工作。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①完成板</w:t>
      </w:r>
      <w:proofErr w:type="gramStart"/>
      <w:r>
        <w:rPr>
          <w:rFonts w:ascii="仿宋_GB2312" w:eastAsia="仿宋_GB2312" w:cs="仿宋" w:hint="eastAsia"/>
          <w:kern w:val="0"/>
          <w:sz w:val="32"/>
          <w:szCs w:val="32"/>
        </w:rPr>
        <w:t>厂峪窑址群</w:t>
      </w:r>
      <w:proofErr w:type="gramEnd"/>
      <w:r>
        <w:rPr>
          <w:rFonts w:ascii="仿宋_GB2312" w:eastAsia="仿宋_GB2312" w:cs="仿宋" w:hint="eastAsia"/>
          <w:kern w:val="0"/>
          <w:sz w:val="32"/>
          <w:szCs w:val="32"/>
        </w:rPr>
        <w:t>数字化展示项目。完成长城文物和文化资源挖掘整理与展示传播项目年度工作计划。</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lastRenderedPageBreak/>
        <w:t>②完成国际博物馆日、中国文化遗产日、秦皇岛长城保护日宣传活动</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③推进《秦皇岛市非物质文化遗产保护条例》立法工作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④国家级非物质文化遗产名录保护传承数量≥</w:t>
      </w:r>
      <w:r>
        <w:rPr>
          <w:rFonts w:ascii="仿宋_GB2312" w:eastAsia="仿宋_GB2312" w:cs="仿宋" w:hint="eastAsia"/>
          <w:kern w:val="0"/>
          <w:sz w:val="32"/>
          <w:szCs w:val="32"/>
        </w:rPr>
        <w:t>5</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⑤省级名录保护传承数量≥</w:t>
      </w:r>
      <w:r>
        <w:rPr>
          <w:rFonts w:ascii="仿宋_GB2312" w:eastAsia="仿宋_GB2312" w:cs="仿宋" w:hint="eastAsia"/>
          <w:kern w:val="0"/>
          <w:sz w:val="32"/>
          <w:szCs w:val="32"/>
        </w:rPr>
        <w:t>37</w:t>
      </w:r>
      <w:r>
        <w:rPr>
          <w:rFonts w:ascii="仿宋_GB2312" w:eastAsia="仿宋_GB2312" w:cs="仿宋" w:hint="eastAsia"/>
          <w:kern w:val="0"/>
          <w:sz w:val="32"/>
          <w:szCs w:val="32"/>
        </w:rPr>
        <w:t>个</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⑥市级名录保护传承数量≥</w:t>
      </w:r>
      <w:r>
        <w:rPr>
          <w:rFonts w:ascii="仿宋_GB2312" w:eastAsia="仿宋_GB2312" w:cs="仿宋" w:hint="eastAsia"/>
          <w:kern w:val="0"/>
          <w:sz w:val="32"/>
          <w:szCs w:val="32"/>
        </w:rPr>
        <w:t>112</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⑦完成重点文物遗址保护维修项目</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⑧全力推进市博物馆建设</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⑨非遗传</w:t>
      </w:r>
      <w:proofErr w:type="gramStart"/>
      <w:r>
        <w:rPr>
          <w:rFonts w:ascii="仿宋_GB2312" w:eastAsia="仿宋_GB2312" w:cs="仿宋" w:hint="eastAsia"/>
          <w:kern w:val="0"/>
          <w:sz w:val="32"/>
          <w:szCs w:val="32"/>
        </w:rPr>
        <w:t>习馆投入</w:t>
      </w:r>
      <w:proofErr w:type="gramEnd"/>
      <w:r>
        <w:rPr>
          <w:rFonts w:ascii="仿宋_GB2312" w:eastAsia="仿宋_GB2312" w:cs="仿宋" w:hint="eastAsia"/>
          <w:kern w:val="0"/>
          <w:sz w:val="32"/>
          <w:szCs w:val="32"/>
        </w:rPr>
        <w:t>运营</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11</w:t>
      </w:r>
      <w:r>
        <w:rPr>
          <w:rFonts w:ascii="仿宋_GB2312" w:eastAsia="仿宋_GB2312" w:cs="仿宋" w:hint="eastAsia"/>
          <w:b/>
          <w:kern w:val="0"/>
          <w:sz w:val="32"/>
          <w:szCs w:val="32"/>
        </w:rPr>
        <w:t>）加快推进全市地面电视数字化进程</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绩效目标：协调指挥调度全市广播电视</w:t>
      </w:r>
      <w:r>
        <w:rPr>
          <w:rFonts w:ascii="仿宋_GB2312" w:eastAsia="仿宋_GB2312" w:cs="仿宋" w:hint="eastAsia"/>
          <w:kern w:val="0"/>
          <w:sz w:val="32"/>
          <w:szCs w:val="32"/>
        </w:rPr>
        <w:t>播出和传送单位，确保全市广播电视宣传主题鲜明、运行安全，确保重点时期、重点时段、重点节目安全播出。加强精品生产规划引领，深入挖掘我市电视剧、纪录片、动画片、节目栏目、网络视听作品重大主题创作资源，争取推出</w:t>
      </w:r>
      <w:r>
        <w:rPr>
          <w:rFonts w:ascii="仿宋_GB2312" w:eastAsia="仿宋_GB2312" w:cs="仿宋" w:hint="eastAsia"/>
          <w:kern w:val="0"/>
          <w:sz w:val="32"/>
          <w:szCs w:val="32"/>
        </w:rPr>
        <w:t>1-2</w:t>
      </w:r>
      <w:r>
        <w:rPr>
          <w:rFonts w:ascii="仿宋_GB2312" w:eastAsia="仿宋_GB2312" w:cs="仿宋" w:hint="eastAsia"/>
          <w:kern w:val="0"/>
          <w:sz w:val="32"/>
          <w:szCs w:val="32"/>
        </w:rPr>
        <w:t>部优秀作品。加大日常监管与专项整治结合力度，以专项行动为抓手，对容易产生违规行为的薄弱环节、重点领域进行专项整治。加快推进全市地面电视数字化进程，</w:t>
      </w:r>
      <w:r>
        <w:rPr>
          <w:rFonts w:ascii="仿宋_GB2312" w:eastAsia="仿宋_GB2312" w:cs="仿宋" w:hint="eastAsia"/>
          <w:kern w:val="0"/>
          <w:sz w:val="32"/>
          <w:szCs w:val="32"/>
        </w:rPr>
        <w:t>2021</w:t>
      </w:r>
      <w:r>
        <w:rPr>
          <w:rFonts w:ascii="仿宋_GB2312" w:eastAsia="仿宋_GB2312" w:cs="仿宋" w:hint="eastAsia"/>
          <w:kern w:val="0"/>
          <w:sz w:val="32"/>
          <w:szCs w:val="32"/>
        </w:rPr>
        <w:t>年有条件的县区完成地面数字电视</w:t>
      </w:r>
      <w:proofErr w:type="gramStart"/>
      <w:r>
        <w:rPr>
          <w:rFonts w:ascii="仿宋_GB2312" w:eastAsia="仿宋_GB2312" w:cs="仿宋" w:hint="eastAsia"/>
          <w:kern w:val="0"/>
          <w:sz w:val="32"/>
          <w:szCs w:val="32"/>
        </w:rPr>
        <w:t>单频网建设</w:t>
      </w:r>
      <w:proofErr w:type="gramEnd"/>
      <w:r>
        <w:rPr>
          <w:rFonts w:ascii="仿宋_GB2312" w:eastAsia="仿宋_GB2312" w:cs="仿宋" w:hint="eastAsia"/>
          <w:kern w:val="0"/>
          <w:sz w:val="32"/>
          <w:szCs w:val="32"/>
        </w:rPr>
        <w:t>任务。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①全市广播电视安全播出率</w:t>
      </w:r>
      <w:r>
        <w:rPr>
          <w:rFonts w:ascii="仿宋_GB2312" w:eastAsia="仿宋_GB2312" w:cs="仿宋" w:hint="eastAsia"/>
          <w:kern w:val="0"/>
          <w:sz w:val="32"/>
          <w:szCs w:val="32"/>
        </w:rPr>
        <w:t xml:space="preserve"> </w:t>
      </w:r>
      <w:r>
        <w:rPr>
          <w:rFonts w:ascii="仿宋_GB2312" w:eastAsia="仿宋_GB2312" w:cs="仿宋" w:hint="eastAsia"/>
          <w:kern w:val="0"/>
          <w:sz w:val="32"/>
          <w:szCs w:val="32"/>
        </w:rPr>
        <w:t>≥</w:t>
      </w:r>
      <w:r>
        <w:rPr>
          <w:rFonts w:ascii="仿宋_GB2312" w:eastAsia="仿宋_GB2312" w:cs="仿宋" w:hint="eastAsia"/>
          <w:kern w:val="0"/>
          <w:sz w:val="32"/>
          <w:szCs w:val="32"/>
        </w:rPr>
        <w:t xml:space="preserve"> 90%</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②优秀作品≥</w:t>
      </w:r>
      <w:r>
        <w:rPr>
          <w:rFonts w:ascii="仿宋_GB2312" w:eastAsia="仿宋_GB2312" w:cs="仿宋" w:hint="eastAsia"/>
          <w:kern w:val="0"/>
          <w:sz w:val="32"/>
          <w:szCs w:val="32"/>
        </w:rPr>
        <w:t>1</w:t>
      </w:r>
      <w:r>
        <w:rPr>
          <w:rFonts w:ascii="仿宋_GB2312" w:eastAsia="仿宋_GB2312" w:cs="仿宋" w:hint="eastAsia"/>
          <w:kern w:val="0"/>
          <w:sz w:val="32"/>
          <w:szCs w:val="32"/>
        </w:rPr>
        <w:t>部</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③专项行动≥</w:t>
      </w:r>
      <w:r>
        <w:rPr>
          <w:rFonts w:ascii="仿宋_GB2312" w:eastAsia="仿宋_GB2312" w:cs="仿宋" w:hint="eastAsia"/>
          <w:kern w:val="0"/>
          <w:sz w:val="32"/>
          <w:szCs w:val="32"/>
        </w:rPr>
        <w:t>2</w:t>
      </w:r>
      <w:r>
        <w:rPr>
          <w:rFonts w:ascii="仿宋_GB2312" w:eastAsia="仿宋_GB2312" w:cs="仿宋" w:hint="eastAsia"/>
          <w:kern w:val="0"/>
          <w:sz w:val="32"/>
          <w:szCs w:val="32"/>
        </w:rPr>
        <w:t>次</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w:t>
      </w:r>
      <w:r>
        <w:rPr>
          <w:rFonts w:ascii="仿宋_GB2312" w:eastAsia="仿宋_GB2312" w:cs="仿宋" w:hint="eastAsia"/>
          <w:b/>
          <w:kern w:val="0"/>
          <w:sz w:val="32"/>
          <w:szCs w:val="32"/>
        </w:rPr>
        <w:t>12</w:t>
      </w:r>
      <w:r>
        <w:rPr>
          <w:rFonts w:ascii="仿宋_GB2312" w:eastAsia="仿宋_GB2312" w:cs="仿宋" w:hint="eastAsia"/>
          <w:b/>
          <w:kern w:val="0"/>
          <w:sz w:val="32"/>
          <w:szCs w:val="32"/>
        </w:rPr>
        <w:t>）保障广播电视</w:t>
      </w:r>
      <w:proofErr w:type="gramStart"/>
      <w:r>
        <w:rPr>
          <w:rFonts w:ascii="仿宋_GB2312" w:eastAsia="仿宋_GB2312" w:cs="仿宋" w:hint="eastAsia"/>
          <w:b/>
          <w:kern w:val="0"/>
          <w:sz w:val="32"/>
          <w:szCs w:val="32"/>
        </w:rPr>
        <w:t>做优做</w:t>
      </w:r>
      <w:proofErr w:type="gramEnd"/>
      <w:r>
        <w:rPr>
          <w:rFonts w:ascii="仿宋_GB2312" w:eastAsia="仿宋_GB2312" w:cs="仿宋" w:hint="eastAsia"/>
          <w:b/>
          <w:kern w:val="0"/>
          <w:sz w:val="32"/>
          <w:szCs w:val="32"/>
        </w:rPr>
        <w:t>强</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绩效目标：围绕建党</w:t>
      </w:r>
      <w:r>
        <w:rPr>
          <w:rFonts w:ascii="仿宋_GB2312" w:eastAsia="仿宋_GB2312" w:cs="仿宋" w:hint="eastAsia"/>
          <w:kern w:val="0"/>
          <w:sz w:val="32"/>
          <w:szCs w:val="32"/>
        </w:rPr>
        <w:t>100</w:t>
      </w:r>
      <w:r>
        <w:rPr>
          <w:rFonts w:ascii="仿宋_GB2312" w:eastAsia="仿宋_GB2312" w:cs="仿宋" w:hint="eastAsia"/>
          <w:kern w:val="0"/>
          <w:sz w:val="32"/>
          <w:szCs w:val="32"/>
        </w:rPr>
        <w:t>周年，聚焦新时代史诗般的伟大实</w:t>
      </w:r>
      <w:r>
        <w:rPr>
          <w:rFonts w:ascii="仿宋_GB2312" w:eastAsia="仿宋_GB2312" w:cs="仿宋" w:hint="eastAsia"/>
          <w:kern w:val="0"/>
          <w:sz w:val="32"/>
          <w:szCs w:val="32"/>
        </w:rPr>
        <w:lastRenderedPageBreak/>
        <w:t>践，聚焦党史、新中国史、改革开放史、社会主义发展史，聚焦群众生产生活、讲好秦皇岛故事，聚焦经济社会发展新趋势新变革、人民群众新期待，做好舆论导向和主旋律宣传制作。争取推出</w:t>
      </w:r>
      <w:r>
        <w:rPr>
          <w:rFonts w:ascii="仿宋_GB2312" w:eastAsia="仿宋_GB2312" w:cs="仿宋" w:hint="eastAsia"/>
          <w:kern w:val="0"/>
          <w:sz w:val="32"/>
          <w:szCs w:val="32"/>
        </w:rPr>
        <w:t>1-2</w:t>
      </w:r>
      <w:r>
        <w:rPr>
          <w:rFonts w:ascii="仿宋_GB2312" w:eastAsia="仿宋_GB2312" w:cs="仿宋" w:hint="eastAsia"/>
          <w:kern w:val="0"/>
          <w:sz w:val="32"/>
          <w:szCs w:val="32"/>
        </w:rPr>
        <w:t>部在省内或国内电视台、视听网站播出、口碑良好、影响广泛的优秀作品。以建设国家长城文化公园为契机，围绕“长城”文化资源谋划合作节目或栏目，展示秦皇岛形象。强化属地管理职责，压实各级广电行政管理部门的责任，依法维护意识形态安全和文化安全，以高质量依法行政保</w:t>
      </w:r>
      <w:r>
        <w:rPr>
          <w:rFonts w:ascii="仿宋_GB2312" w:eastAsia="仿宋_GB2312" w:cs="仿宋" w:hint="eastAsia"/>
          <w:kern w:val="0"/>
          <w:sz w:val="32"/>
          <w:szCs w:val="32"/>
        </w:rPr>
        <w:t>障广播电视</w:t>
      </w:r>
      <w:proofErr w:type="gramStart"/>
      <w:r>
        <w:rPr>
          <w:rFonts w:ascii="仿宋_GB2312" w:eastAsia="仿宋_GB2312" w:cs="仿宋" w:hint="eastAsia"/>
          <w:kern w:val="0"/>
          <w:sz w:val="32"/>
          <w:szCs w:val="32"/>
        </w:rPr>
        <w:t>做优做</w:t>
      </w:r>
      <w:proofErr w:type="gramEnd"/>
      <w:r>
        <w:rPr>
          <w:rFonts w:ascii="仿宋_GB2312" w:eastAsia="仿宋_GB2312" w:cs="仿宋" w:hint="eastAsia"/>
          <w:kern w:val="0"/>
          <w:sz w:val="32"/>
          <w:szCs w:val="32"/>
        </w:rPr>
        <w:t>强。</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绩效指标：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①围绕建党</w:t>
      </w:r>
      <w:r>
        <w:rPr>
          <w:rFonts w:ascii="仿宋_GB2312" w:eastAsia="仿宋_GB2312" w:cs="仿宋" w:hint="eastAsia"/>
          <w:kern w:val="0"/>
          <w:sz w:val="32"/>
          <w:szCs w:val="32"/>
        </w:rPr>
        <w:t>100</w:t>
      </w:r>
      <w:r>
        <w:rPr>
          <w:rFonts w:ascii="仿宋_GB2312" w:eastAsia="仿宋_GB2312" w:cs="仿宋" w:hint="eastAsia"/>
          <w:kern w:val="0"/>
          <w:sz w:val="32"/>
          <w:szCs w:val="32"/>
        </w:rPr>
        <w:t>周年创作优秀作品≥</w:t>
      </w:r>
      <w:r>
        <w:rPr>
          <w:rFonts w:ascii="仿宋_GB2312" w:eastAsia="仿宋_GB2312" w:cs="仿宋" w:hint="eastAsia"/>
          <w:kern w:val="0"/>
          <w:sz w:val="32"/>
          <w:szCs w:val="32"/>
        </w:rPr>
        <w:t>1</w:t>
      </w:r>
      <w:r>
        <w:rPr>
          <w:rFonts w:ascii="仿宋_GB2312" w:eastAsia="仿宋_GB2312" w:cs="仿宋" w:hint="eastAsia"/>
          <w:kern w:val="0"/>
          <w:sz w:val="32"/>
          <w:szCs w:val="32"/>
        </w:rPr>
        <w:t>部</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②对长城公园建设通过媒体宣传≥</w:t>
      </w:r>
      <w:r>
        <w:rPr>
          <w:rFonts w:ascii="仿宋_GB2312" w:eastAsia="仿宋_GB2312" w:cs="仿宋" w:hint="eastAsia"/>
          <w:kern w:val="0"/>
          <w:sz w:val="32"/>
          <w:szCs w:val="32"/>
        </w:rPr>
        <w:t>2</w:t>
      </w:r>
      <w:r>
        <w:rPr>
          <w:rFonts w:ascii="仿宋_GB2312" w:eastAsia="仿宋_GB2312" w:cs="仿宋" w:hint="eastAsia"/>
          <w:kern w:val="0"/>
          <w:sz w:val="32"/>
          <w:szCs w:val="32"/>
        </w:rPr>
        <w:t>次</w:t>
      </w:r>
    </w:p>
    <w:p w:rsidR="009E7DEE" w:rsidRDefault="003B3BC9" w:rsidP="00214BF2">
      <w:pPr>
        <w:adjustRightInd w:val="0"/>
        <w:snapToGrid w:val="0"/>
        <w:spacing w:line="580" w:lineRule="exact"/>
        <w:ind w:firstLineChars="200" w:firstLine="643"/>
        <w:rPr>
          <w:rFonts w:ascii="仿宋_GB2312" w:eastAsia="仿宋_GB2312" w:cs="宋体"/>
          <w:b/>
          <w:bCs/>
          <w:kern w:val="0"/>
          <w:sz w:val="32"/>
          <w:szCs w:val="32"/>
          <w:lang w:bidi="en-US"/>
        </w:rPr>
      </w:pPr>
      <w:r>
        <w:rPr>
          <w:rFonts w:ascii="仿宋_GB2312" w:eastAsia="仿宋_GB2312" w:cs="宋体" w:hint="eastAsia"/>
          <w:b/>
          <w:bCs/>
          <w:kern w:val="0"/>
          <w:sz w:val="32"/>
          <w:szCs w:val="32"/>
          <w:lang w:bidi="en-US"/>
        </w:rPr>
        <w:t>二、</w:t>
      </w:r>
      <w:bookmarkStart w:id="2" w:name="_Hlk18530851"/>
      <w:r>
        <w:rPr>
          <w:rFonts w:ascii="仿宋_GB2312" w:eastAsia="仿宋_GB2312" w:cs="宋体" w:hint="eastAsia"/>
          <w:b/>
          <w:bCs/>
          <w:kern w:val="0"/>
          <w:sz w:val="32"/>
          <w:szCs w:val="32"/>
          <w:lang w:bidi="en-US"/>
        </w:rPr>
        <w:t>绩效评价情况</w:t>
      </w:r>
    </w:p>
    <w:p w:rsidR="009E7DEE" w:rsidRDefault="003B3BC9" w:rsidP="00214BF2">
      <w:pPr>
        <w:snapToGrid w:val="0"/>
        <w:spacing w:line="580" w:lineRule="exact"/>
        <w:ind w:firstLineChars="200" w:firstLine="643"/>
        <w:rPr>
          <w:rFonts w:ascii="仿宋_GB2312" w:eastAsia="仿宋_GB2312" w:cs="宋体"/>
          <w:b/>
          <w:kern w:val="0"/>
          <w:sz w:val="32"/>
          <w:szCs w:val="32"/>
        </w:rPr>
      </w:pPr>
      <w:bookmarkStart w:id="3" w:name="_Hlk18530893"/>
      <w:bookmarkStart w:id="4" w:name="_Hlk18530805"/>
      <w:bookmarkEnd w:id="0"/>
      <w:bookmarkEnd w:id="2"/>
      <w:r>
        <w:rPr>
          <w:rFonts w:ascii="仿宋_GB2312" w:eastAsia="仿宋_GB2312" w:cs="宋体" w:hint="eastAsia"/>
          <w:b/>
          <w:kern w:val="0"/>
          <w:sz w:val="32"/>
          <w:szCs w:val="32"/>
        </w:rPr>
        <w:t>1.</w:t>
      </w:r>
      <w:r>
        <w:rPr>
          <w:rFonts w:ascii="仿宋_GB2312" w:eastAsia="仿宋_GB2312" w:cs="宋体" w:hint="eastAsia"/>
          <w:b/>
          <w:kern w:val="0"/>
          <w:sz w:val="32"/>
          <w:szCs w:val="32"/>
        </w:rPr>
        <w:t>评价结果</w:t>
      </w:r>
    </w:p>
    <w:p w:rsidR="009E7DEE" w:rsidRDefault="003B3BC9">
      <w:pPr>
        <w:snapToGrid w:val="0"/>
        <w:spacing w:line="580" w:lineRule="exact"/>
        <w:ind w:firstLineChars="200" w:firstLine="640"/>
        <w:rPr>
          <w:rFonts w:ascii="仿宋" w:eastAsia="仿宋" w:cs="宋体"/>
          <w:kern w:val="0"/>
          <w:sz w:val="32"/>
          <w:szCs w:val="32"/>
        </w:rPr>
      </w:pPr>
      <w:r>
        <w:rPr>
          <w:rFonts w:ascii="仿宋_GB2312" w:eastAsia="仿宋_GB2312" w:cs="宋体" w:hint="eastAsia"/>
          <w:kern w:val="0"/>
          <w:sz w:val="32"/>
          <w:szCs w:val="32"/>
        </w:rPr>
        <w:t>市旅游文广局部</w:t>
      </w:r>
      <w:proofErr w:type="gramStart"/>
      <w:r>
        <w:rPr>
          <w:rFonts w:ascii="仿宋_GB2312" w:eastAsia="仿宋_GB2312" w:cs="宋体" w:hint="eastAsia"/>
          <w:kern w:val="0"/>
          <w:sz w:val="32"/>
          <w:szCs w:val="32"/>
        </w:rPr>
        <w:t>门整体</w:t>
      </w:r>
      <w:proofErr w:type="gramEnd"/>
      <w:r>
        <w:rPr>
          <w:rFonts w:ascii="仿宋_GB2312" w:eastAsia="仿宋_GB2312" w:cs="宋体" w:hint="eastAsia"/>
          <w:kern w:val="0"/>
          <w:sz w:val="32"/>
          <w:szCs w:val="32"/>
        </w:rPr>
        <w:t>支出绩效评价得分</w:t>
      </w:r>
      <w:r>
        <w:rPr>
          <w:rFonts w:ascii="仿宋_GB2312" w:eastAsia="仿宋_GB2312" w:cs="宋体" w:hint="eastAsia"/>
          <w:kern w:val="0"/>
          <w:sz w:val="32"/>
          <w:szCs w:val="32"/>
        </w:rPr>
        <w:t>87.3</w:t>
      </w:r>
      <w:r>
        <w:rPr>
          <w:rFonts w:ascii="仿宋_GB2312" w:eastAsia="仿宋_GB2312" w:cs="宋体" w:hint="eastAsia"/>
          <w:kern w:val="0"/>
          <w:sz w:val="32"/>
          <w:szCs w:val="32"/>
        </w:rPr>
        <w:t>分，综合评价等级为“良”。其中部门决策得分率为</w:t>
      </w:r>
      <w:r>
        <w:rPr>
          <w:rFonts w:ascii="仿宋_GB2312" w:eastAsia="仿宋_GB2312" w:cs="宋体" w:hint="eastAsia"/>
          <w:kern w:val="0"/>
          <w:sz w:val="32"/>
          <w:szCs w:val="32"/>
        </w:rPr>
        <w:t>90.00%</w:t>
      </w:r>
      <w:r>
        <w:rPr>
          <w:rFonts w:ascii="仿宋_GB2312" w:eastAsia="仿宋_GB2312" w:cs="宋体" w:hint="eastAsia"/>
          <w:kern w:val="0"/>
          <w:sz w:val="32"/>
          <w:szCs w:val="32"/>
        </w:rPr>
        <w:t>，部门管理得分率为</w:t>
      </w:r>
      <w:r>
        <w:rPr>
          <w:rFonts w:ascii="仿宋_GB2312" w:eastAsia="仿宋_GB2312" w:cs="宋体" w:hint="eastAsia"/>
          <w:kern w:val="0"/>
          <w:sz w:val="32"/>
          <w:szCs w:val="32"/>
        </w:rPr>
        <w:t>77.50%</w:t>
      </w:r>
      <w:r>
        <w:rPr>
          <w:rFonts w:ascii="仿宋_GB2312" w:eastAsia="仿宋_GB2312" w:cs="宋体" w:hint="eastAsia"/>
          <w:kern w:val="0"/>
          <w:sz w:val="32"/>
          <w:szCs w:val="32"/>
        </w:rPr>
        <w:t>，部门产出得分率为</w:t>
      </w:r>
      <w:r>
        <w:rPr>
          <w:rFonts w:ascii="仿宋_GB2312" w:eastAsia="仿宋_GB2312" w:cs="宋体" w:hint="eastAsia"/>
          <w:kern w:val="0"/>
          <w:sz w:val="32"/>
          <w:szCs w:val="32"/>
        </w:rPr>
        <w:t>88.00%</w:t>
      </w:r>
      <w:r>
        <w:rPr>
          <w:rFonts w:ascii="仿宋_GB2312" w:eastAsia="仿宋_GB2312" w:cs="宋体" w:hint="eastAsia"/>
          <w:kern w:val="0"/>
          <w:sz w:val="32"/>
          <w:szCs w:val="32"/>
        </w:rPr>
        <w:t>，产出效果得分为</w:t>
      </w:r>
      <w:r>
        <w:rPr>
          <w:rFonts w:ascii="仿宋_GB2312" w:eastAsia="仿宋_GB2312" w:cs="宋体" w:hint="eastAsia"/>
          <w:kern w:val="0"/>
          <w:sz w:val="32"/>
          <w:szCs w:val="32"/>
        </w:rPr>
        <w:t>90.86%</w:t>
      </w:r>
      <w:r>
        <w:rPr>
          <w:rFonts w:ascii="仿宋_GB2312" w:eastAsia="仿宋_GB2312" w:cs="宋体" w:hint="eastAsia"/>
          <w:kern w:val="0"/>
          <w:sz w:val="32"/>
          <w:szCs w:val="32"/>
        </w:rPr>
        <w:t>，满意度得分为</w:t>
      </w:r>
      <w:r>
        <w:rPr>
          <w:rFonts w:ascii="仿宋_GB2312" w:eastAsia="仿宋_GB2312" w:cs="宋体" w:hint="eastAsia"/>
          <w:kern w:val="0"/>
          <w:sz w:val="32"/>
          <w:szCs w:val="32"/>
        </w:rPr>
        <w:t>90.00%</w:t>
      </w:r>
      <w:r>
        <w:rPr>
          <w:rFonts w:ascii="仿宋_GB2312" w:eastAsia="仿宋_GB2312" w:cs="宋体" w:hint="eastAsia"/>
          <w:kern w:val="0"/>
          <w:sz w:val="32"/>
          <w:szCs w:val="32"/>
        </w:rPr>
        <w:t>。各一级指标得分具体如下表：</w:t>
      </w:r>
    </w:p>
    <w:p w:rsidR="009E7DEE" w:rsidRDefault="003B3BC9">
      <w:pPr>
        <w:pStyle w:val="2"/>
        <w:spacing w:line="580" w:lineRule="exact"/>
        <w:ind w:firstLineChars="0" w:firstLine="0"/>
        <w:jc w:val="center"/>
        <w:rPr>
          <w:rFonts w:ascii="仿宋_GB2312" w:eastAsia="仿宋_GB2312" w:cs="仿宋"/>
          <w:b/>
          <w:bCs/>
          <w:sz w:val="32"/>
          <w:szCs w:val="32"/>
          <w:lang w:val="en-US"/>
        </w:rPr>
      </w:pPr>
      <w:r>
        <w:rPr>
          <w:rFonts w:ascii="仿宋_GB2312" w:eastAsia="仿宋_GB2312" w:cs="仿宋" w:hint="eastAsia"/>
          <w:b/>
          <w:bCs/>
          <w:sz w:val="32"/>
          <w:szCs w:val="32"/>
          <w:lang w:val="en-US"/>
        </w:rPr>
        <w:t>2021</w:t>
      </w:r>
      <w:r>
        <w:rPr>
          <w:rFonts w:ascii="仿宋_GB2312" w:eastAsia="仿宋_GB2312" w:cs="仿宋" w:hint="eastAsia"/>
          <w:b/>
          <w:bCs/>
          <w:sz w:val="32"/>
          <w:szCs w:val="32"/>
          <w:lang w:val="en-US"/>
        </w:rPr>
        <w:t>年度部门整体支出绩效指标表</w:t>
      </w:r>
    </w:p>
    <w:tbl>
      <w:tblPr>
        <w:tblW w:w="8390" w:type="dxa"/>
        <w:jc w:val="center"/>
        <w:tblLook w:val="04A0" w:firstRow="1" w:lastRow="0" w:firstColumn="1" w:lastColumn="0" w:noHBand="0" w:noVBand="1"/>
      </w:tblPr>
      <w:tblGrid>
        <w:gridCol w:w="3252"/>
        <w:gridCol w:w="1673"/>
        <w:gridCol w:w="1678"/>
        <w:gridCol w:w="1787"/>
      </w:tblGrid>
      <w:tr w:rsidR="009E7DEE">
        <w:trPr>
          <w:trHeight w:hRule="exact" w:val="533"/>
          <w:jc w:val="center"/>
        </w:trPr>
        <w:tc>
          <w:tcPr>
            <w:tcW w:w="3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jc w:val="center"/>
              <w:rPr>
                <w:rFonts w:ascii="华文仿宋" w:eastAsia="华文仿宋" w:hAnsi="华文仿宋" w:cs="华文仿宋"/>
                <w:b/>
                <w:bCs/>
                <w:color w:val="000000"/>
                <w:kern w:val="0"/>
                <w:szCs w:val="21"/>
              </w:rPr>
            </w:pPr>
            <w:r>
              <w:rPr>
                <w:rFonts w:ascii="华文仿宋" w:eastAsia="华文仿宋" w:hAnsi="华文仿宋" w:cs="华文仿宋" w:hint="eastAsia"/>
                <w:b/>
                <w:bCs/>
                <w:color w:val="000000"/>
                <w:kern w:val="0"/>
                <w:szCs w:val="21"/>
              </w:rPr>
              <w:t>一级指标</w:t>
            </w:r>
          </w:p>
        </w:tc>
        <w:tc>
          <w:tcPr>
            <w:tcW w:w="1673"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jc w:val="center"/>
              <w:rPr>
                <w:rFonts w:ascii="华文仿宋" w:eastAsia="华文仿宋" w:hAnsi="华文仿宋" w:cs="华文仿宋"/>
                <w:b/>
                <w:bCs/>
                <w:color w:val="000000"/>
                <w:kern w:val="0"/>
                <w:szCs w:val="21"/>
              </w:rPr>
            </w:pPr>
            <w:r>
              <w:rPr>
                <w:rFonts w:ascii="华文仿宋" w:eastAsia="华文仿宋" w:hAnsi="华文仿宋" w:cs="华文仿宋" w:hint="eastAsia"/>
                <w:b/>
                <w:bCs/>
                <w:color w:val="000000"/>
                <w:kern w:val="0"/>
                <w:szCs w:val="21"/>
              </w:rPr>
              <w:t>权重</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jc w:val="center"/>
              <w:rPr>
                <w:rFonts w:ascii="华文仿宋" w:eastAsia="华文仿宋" w:hAnsi="华文仿宋" w:cs="华文仿宋"/>
                <w:b/>
                <w:bCs/>
                <w:color w:val="000000"/>
                <w:kern w:val="0"/>
                <w:szCs w:val="21"/>
              </w:rPr>
            </w:pPr>
            <w:r>
              <w:rPr>
                <w:rFonts w:ascii="华文仿宋" w:eastAsia="华文仿宋" w:hAnsi="华文仿宋" w:cs="华文仿宋" w:hint="eastAsia"/>
                <w:b/>
                <w:bCs/>
                <w:color w:val="000000"/>
                <w:kern w:val="0"/>
                <w:szCs w:val="21"/>
              </w:rPr>
              <w:t>得分</w:t>
            </w:r>
          </w:p>
        </w:tc>
        <w:tc>
          <w:tcPr>
            <w:tcW w:w="1787"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jc w:val="center"/>
              <w:rPr>
                <w:rFonts w:ascii="华文仿宋" w:eastAsia="华文仿宋" w:hAnsi="华文仿宋" w:cs="华文仿宋"/>
                <w:b/>
                <w:bCs/>
                <w:color w:val="000000"/>
                <w:kern w:val="0"/>
                <w:szCs w:val="21"/>
              </w:rPr>
            </w:pPr>
            <w:r>
              <w:rPr>
                <w:rFonts w:ascii="华文仿宋" w:eastAsia="华文仿宋" w:hAnsi="华文仿宋" w:cs="华文仿宋" w:hint="eastAsia"/>
                <w:b/>
                <w:bCs/>
                <w:color w:val="000000"/>
                <w:kern w:val="0"/>
                <w:szCs w:val="21"/>
              </w:rPr>
              <w:t>得分率</w:t>
            </w:r>
          </w:p>
        </w:tc>
      </w:tr>
      <w:tr w:rsidR="009E7DEE">
        <w:trPr>
          <w:trHeight w:hRule="exact" w:val="533"/>
          <w:jc w:val="center"/>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部门决策</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9</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90.00%</w:t>
            </w:r>
          </w:p>
        </w:tc>
      </w:tr>
      <w:tr w:rsidR="009E7DEE">
        <w:trPr>
          <w:trHeight w:hRule="exact" w:val="533"/>
          <w:jc w:val="center"/>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部门管理</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20</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15.5</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77.50%</w:t>
            </w:r>
          </w:p>
        </w:tc>
      </w:tr>
      <w:tr w:rsidR="009E7DEE">
        <w:trPr>
          <w:trHeight w:hRule="exact" w:val="533"/>
          <w:jc w:val="center"/>
        </w:trPr>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部门产出</w:t>
            </w:r>
          </w:p>
        </w:tc>
        <w:tc>
          <w:tcPr>
            <w:tcW w:w="1673"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25</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22</w:t>
            </w:r>
          </w:p>
        </w:tc>
        <w:tc>
          <w:tcPr>
            <w:tcW w:w="1787" w:type="dxa"/>
            <w:tcBorders>
              <w:top w:val="single" w:sz="4" w:space="0" w:color="auto"/>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88.00%</w:t>
            </w:r>
          </w:p>
        </w:tc>
      </w:tr>
      <w:tr w:rsidR="009E7DEE">
        <w:trPr>
          <w:trHeight w:hRule="exact" w:val="533"/>
          <w:jc w:val="center"/>
        </w:trPr>
        <w:tc>
          <w:tcPr>
            <w:tcW w:w="3252" w:type="dxa"/>
            <w:tcBorders>
              <w:top w:val="nil"/>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产出效果</w:t>
            </w:r>
          </w:p>
        </w:tc>
        <w:tc>
          <w:tcPr>
            <w:tcW w:w="1673"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35</w:t>
            </w:r>
          </w:p>
        </w:tc>
        <w:tc>
          <w:tcPr>
            <w:tcW w:w="1678"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31.8</w:t>
            </w:r>
          </w:p>
        </w:tc>
        <w:tc>
          <w:tcPr>
            <w:tcW w:w="1787"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90.86%</w:t>
            </w:r>
          </w:p>
        </w:tc>
      </w:tr>
      <w:tr w:rsidR="009E7DEE">
        <w:trPr>
          <w:trHeight w:hRule="exact" w:val="533"/>
          <w:jc w:val="center"/>
        </w:trPr>
        <w:tc>
          <w:tcPr>
            <w:tcW w:w="3252" w:type="dxa"/>
            <w:tcBorders>
              <w:top w:val="nil"/>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满意度</w:t>
            </w:r>
          </w:p>
        </w:tc>
        <w:tc>
          <w:tcPr>
            <w:tcW w:w="1673"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10</w:t>
            </w:r>
          </w:p>
        </w:tc>
        <w:tc>
          <w:tcPr>
            <w:tcW w:w="1678"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9</w:t>
            </w:r>
          </w:p>
        </w:tc>
        <w:tc>
          <w:tcPr>
            <w:tcW w:w="1787"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90.00%</w:t>
            </w:r>
          </w:p>
        </w:tc>
      </w:tr>
      <w:tr w:rsidR="009E7DEE">
        <w:trPr>
          <w:trHeight w:hRule="exact" w:val="533"/>
          <w:jc w:val="center"/>
        </w:trPr>
        <w:tc>
          <w:tcPr>
            <w:tcW w:w="3252" w:type="dxa"/>
            <w:tcBorders>
              <w:top w:val="nil"/>
              <w:left w:val="single" w:sz="4" w:space="0" w:color="auto"/>
              <w:bottom w:val="single" w:sz="4" w:space="0" w:color="auto"/>
              <w:right w:val="single" w:sz="4" w:space="0" w:color="auto"/>
            </w:tcBorders>
            <w:shd w:val="clear" w:color="auto" w:fill="auto"/>
            <w:noWrap/>
          </w:tcPr>
          <w:p w:rsidR="009E7DEE" w:rsidRDefault="003B3BC9">
            <w:pPr>
              <w:widowControl/>
              <w:spacing w:line="580" w:lineRule="exact"/>
              <w:jc w:val="center"/>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lastRenderedPageBreak/>
              <w:t>合计</w:t>
            </w:r>
          </w:p>
        </w:tc>
        <w:tc>
          <w:tcPr>
            <w:tcW w:w="1673"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100</w:t>
            </w:r>
          </w:p>
        </w:tc>
        <w:tc>
          <w:tcPr>
            <w:tcW w:w="1678"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87.3</w:t>
            </w:r>
          </w:p>
        </w:tc>
        <w:tc>
          <w:tcPr>
            <w:tcW w:w="1787" w:type="dxa"/>
            <w:tcBorders>
              <w:top w:val="nil"/>
              <w:left w:val="nil"/>
              <w:bottom w:val="single" w:sz="4" w:space="0" w:color="auto"/>
              <w:right w:val="single" w:sz="4" w:space="0" w:color="auto"/>
            </w:tcBorders>
            <w:shd w:val="clear" w:color="auto" w:fill="auto"/>
            <w:noWrap/>
            <w:vAlign w:val="bottom"/>
          </w:tcPr>
          <w:p w:rsidR="009E7DEE" w:rsidRDefault="003B3BC9">
            <w:pPr>
              <w:widowControl/>
              <w:spacing w:line="580" w:lineRule="exact"/>
              <w:rPr>
                <w:rFonts w:ascii="华文仿宋" w:eastAsia="华文仿宋" w:hAnsi="华文仿宋" w:cs="华文仿宋"/>
                <w:color w:val="000000"/>
                <w:kern w:val="0"/>
                <w:szCs w:val="21"/>
              </w:rPr>
            </w:pPr>
            <w:r>
              <w:rPr>
                <w:rFonts w:ascii="华文仿宋" w:eastAsia="华文仿宋" w:hAnsi="华文仿宋" w:cs="华文仿宋" w:hint="eastAsia"/>
                <w:color w:val="000000"/>
                <w:kern w:val="0"/>
                <w:szCs w:val="21"/>
              </w:rPr>
              <w:t>87.30%</w:t>
            </w:r>
          </w:p>
        </w:tc>
      </w:tr>
    </w:tbl>
    <w:p w:rsidR="009E7DEE" w:rsidRDefault="003B3BC9" w:rsidP="00214BF2">
      <w:pPr>
        <w:snapToGrid w:val="0"/>
        <w:spacing w:line="58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2.</w:t>
      </w:r>
      <w:r>
        <w:rPr>
          <w:rFonts w:ascii="仿宋_GB2312" w:eastAsia="仿宋_GB2312" w:cs="宋体" w:hint="eastAsia"/>
          <w:b/>
          <w:kern w:val="0"/>
          <w:sz w:val="32"/>
          <w:szCs w:val="32"/>
        </w:rPr>
        <w:t>部门</w:t>
      </w:r>
      <w:r>
        <w:rPr>
          <w:rFonts w:ascii="仿宋_GB2312" w:eastAsia="仿宋_GB2312" w:cs="宋体" w:hint="eastAsia"/>
          <w:b/>
          <w:kern w:val="0"/>
          <w:sz w:val="32"/>
          <w:szCs w:val="32"/>
        </w:rPr>
        <w:t>主要</w:t>
      </w:r>
      <w:r>
        <w:rPr>
          <w:rFonts w:ascii="仿宋_GB2312" w:eastAsia="仿宋_GB2312" w:cs="宋体" w:hint="eastAsia"/>
          <w:b/>
          <w:kern w:val="0"/>
          <w:sz w:val="32"/>
          <w:szCs w:val="32"/>
        </w:rPr>
        <w:t>绩效</w:t>
      </w:r>
    </w:p>
    <w:p w:rsidR="009E7DEE" w:rsidRDefault="003B3BC9">
      <w:pPr>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2021</w:t>
      </w:r>
      <w:r>
        <w:rPr>
          <w:rFonts w:ascii="仿宋_GB2312" w:eastAsia="仿宋_GB2312" w:cs="仿宋" w:hint="eastAsia"/>
          <w:kern w:val="0"/>
          <w:sz w:val="32"/>
          <w:szCs w:val="32"/>
        </w:rPr>
        <w:t>年</w:t>
      </w:r>
      <w:r>
        <w:rPr>
          <w:rFonts w:ascii="仿宋_GB2312" w:eastAsia="仿宋_GB2312" w:cs="仿宋" w:hint="eastAsia"/>
          <w:kern w:val="0"/>
          <w:sz w:val="32"/>
          <w:szCs w:val="32"/>
        </w:rPr>
        <w:t>，</w:t>
      </w:r>
      <w:r>
        <w:rPr>
          <w:rFonts w:ascii="仿宋_GB2312" w:eastAsia="仿宋_GB2312" w:cs="仿宋" w:hint="eastAsia"/>
          <w:kern w:val="0"/>
          <w:sz w:val="32"/>
          <w:szCs w:val="32"/>
        </w:rPr>
        <w:t>在市委、市政府的坚强领导下，市旅游</w:t>
      </w:r>
      <w:proofErr w:type="gramStart"/>
      <w:r>
        <w:rPr>
          <w:rFonts w:ascii="仿宋_GB2312" w:eastAsia="仿宋_GB2312" w:cs="仿宋" w:hint="eastAsia"/>
          <w:kern w:val="0"/>
          <w:sz w:val="32"/>
          <w:szCs w:val="32"/>
        </w:rPr>
        <w:t>文广局围绕</w:t>
      </w:r>
      <w:proofErr w:type="gramEnd"/>
      <w:r>
        <w:rPr>
          <w:rFonts w:ascii="仿宋_GB2312" w:eastAsia="仿宋_GB2312" w:cs="仿宋" w:hint="eastAsia"/>
          <w:kern w:val="0"/>
          <w:sz w:val="32"/>
          <w:szCs w:val="32"/>
        </w:rPr>
        <w:t>建设一流国际旅游城市目标，坚持争先创优，落实上级重大决策部署，以</w:t>
      </w:r>
      <w:proofErr w:type="gramStart"/>
      <w:r>
        <w:rPr>
          <w:rFonts w:ascii="仿宋_GB2312" w:eastAsia="仿宋_GB2312" w:cs="仿宋" w:hint="eastAsia"/>
          <w:kern w:val="0"/>
          <w:sz w:val="32"/>
          <w:szCs w:val="32"/>
        </w:rPr>
        <w:t>高质量文旅发展</w:t>
      </w:r>
      <w:proofErr w:type="gramEnd"/>
      <w:r>
        <w:rPr>
          <w:rFonts w:ascii="仿宋_GB2312" w:eastAsia="仿宋_GB2312" w:cs="仿宋" w:hint="eastAsia"/>
          <w:kern w:val="0"/>
          <w:sz w:val="32"/>
          <w:szCs w:val="32"/>
        </w:rPr>
        <w:t>、</w:t>
      </w:r>
      <w:proofErr w:type="gramStart"/>
      <w:r>
        <w:rPr>
          <w:rFonts w:ascii="仿宋_GB2312" w:eastAsia="仿宋_GB2312" w:cs="仿宋" w:hint="eastAsia"/>
          <w:kern w:val="0"/>
          <w:sz w:val="32"/>
          <w:szCs w:val="32"/>
        </w:rPr>
        <w:t>高品质文旅生活</w:t>
      </w:r>
      <w:proofErr w:type="gramEnd"/>
      <w:r>
        <w:rPr>
          <w:rFonts w:ascii="仿宋_GB2312" w:eastAsia="仿宋_GB2312" w:cs="仿宋" w:hint="eastAsia"/>
          <w:kern w:val="0"/>
          <w:sz w:val="32"/>
          <w:szCs w:val="32"/>
        </w:rPr>
        <w:t>、</w:t>
      </w:r>
      <w:proofErr w:type="gramStart"/>
      <w:r>
        <w:rPr>
          <w:rFonts w:ascii="仿宋_GB2312" w:eastAsia="仿宋_GB2312" w:cs="仿宋" w:hint="eastAsia"/>
          <w:kern w:val="0"/>
          <w:sz w:val="32"/>
          <w:szCs w:val="32"/>
        </w:rPr>
        <w:t>高效能文旅治理</w:t>
      </w:r>
      <w:proofErr w:type="gramEnd"/>
      <w:r>
        <w:rPr>
          <w:rFonts w:ascii="仿宋_GB2312" w:eastAsia="仿宋_GB2312" w:cs="仿宋" w:hint="eastAsia"/>
          <w:kern w:val="0"/>
          <w:sz w:val="32"/>
          <w:szCs w:val="32"/>
        </w:rPr>
        <w:t>、高水平</w:t>
      </w:r>
      <w:proofErr w:type="gramStart"/>
      <w:r>
        <w:rPr>
          <w:rFonts w:ascii="仿宋_GB2312" w:eastAsia="仿宋_GB2312" w:cs="仿宋" w:hint="eastAsia"/>
          <w:kern w:val="0"/>
          <w:sz w:val="32"/>
          <w:szCs w:val="32"/>
        </w:rPr>
        <w:t>文旅交流</w:t>
      </w:r>
      <w:proofErr w:type="gramEnd"/>
      <w:r>
        <w:rPr>
          <w:rFonts w:ascii="仿宋_GB2312" w:eastAsia="仿宋_GB2312" w:cs="仿宋" w:hint="eastAsia"/>
          <w:kern w:val="0"/>
          <w:sz w:val="32"/>
          <w:szCs w:val="32"/>
        </w:rPr>
        <w:t>为导向，扎实推动旅游和文化快速发展</w:t>
      </w:r>
      <w:r>
        <w:rPr>
          <w:rFonts w:ascii="仿宋_GB2312" w:eastAsia="仿宋_GB2312" w:cs="仿宋" w:hint="eastAsia"/>
          <w:kern w:val="0"/>
          <w:sz w:val="32"/>
          <w:szCs w:val="32"/>
        </w:rPr>
        <w:t>。</w:t>
      </w:r>
      <w:r>
        <w:rPr>
          <w:rFonts w:ascii="仿宋_GB2312" w:eastAsia="仿宋_GB2312" w:cs="仿宋" w:hint="eastAsia"/>
          <w:kern w:val="0"/>
          <w:sz w:val="32"/>
          <w:szCs w:val="32"/>
        </w:rPr>
        <w:t>全面推进长城国家文化公园建设，</w:t>
      </w:r>
      <w:proofErr w:type="gramStart"/>
      <w:r>
        <w:rPr>
          <w:rFonts w:ascii="仿宋_GB2312" w:eastAsia="仿宋_GB2312" w:cs="仿宋" w:hint="eastAsia"/>
          <w:kern w:val="0"/>
          <w:sz w:val="32"/>
          <w:szCs w:val="32"/>
        </w:rPr>
        <w:t>助力全市</w:t>
      </w:r>
      <w:proofErr w:type="gramEnd"/>
      <w:r>
        <w:rPr>
          <w:rFonts w:ascii="仿宋_GB2312" w:eastAsia="仿宋_GB2312" w:cs="仿宋" w:hint="eastAsia"/>
          <w:kern w:val="0"/>
          <w:sz w:val="32"/>
          <w:szCs w:val="32"/>
        </w:rPr>
        <w:t>精准脱贫和乡村振兴，扎实开展公共文化服务体系示范区复核迎检工作，成功举办首届“一带一路”</w:t>
      </w:r>
      <w:r>
        <w:rPr>
          <w:rFonts w:ascii="宋体" w:eastAsia="仿宋_GB2312" w:hAnsi="宋体" w:cs="宋体" w:hint="eastAsia"/>
          <w:kern w:val="0"/>
          <w:sz w:val="32"/>
          <w:szCs w:val="32"/>
        </w:rPr>
        <w:t>•</w:t>
      </w:r>
      <w:r>
        <w:rPr>
          <w:rFonts w:ascii="仿宋_GB2312" w:eastAsia="仿宋_GB2312" w:cs="仿宋" w:hint="eastAsia"/>
          <w:kern w:val="0"/>
          <w:sz w:val="32"/>
          <w:szCs w:val="32"/>
        </w:rPr>
        <w:t>长城国际民间文化艺术节，高标准做好冬奥会帮扶准备工作，全域旅游示范区创建扎实推进，</w:t>
      </w:r>
      <w:proofErr w:type="gramStart"/>
      <w:r>
        <w:rPr>
          <w:rFonts w:ascii="仿宋_GB2312" w:eastAsia="仿宋_GB2312" w:cs="仿宋" w:hint="eastAsia"/>
          <w:kern w:val="0"/>
          <w:sz w:val="32"/>
          <w:szCs w:val="32"/>
        </w:rPr>
        <w:t>文旅产业</w:t>
      </w:r>
      <w:proofErr w:type="gramEnd"/>
      <w:r>
        <w:rPr>
          <w:rFonts w:ascii="仿宋_GB2312" w:eastAsia="仿宋_GB2312" w:cs="仿宋" w:hint="eastAsia"/>
          <w:kern w:val="0"/>
          <w:sz w:val="32"/>
          <w:szCs w:val="32"/>
        </w:rPr>
        <w:t>质量效益提质升级，旅游发展要素品质全面提升，</w:t>
      </w:r>
      <w:proofErr w:type="gramStart"/>
      <w:r>
        <w:rPr>
          <w:rFonts w:ascii="仿宋_GB2312" w:eastAsia="仿宋_GB2312" w:cs="仿宋" w:hint="eastAsia"/>
          <w:kern w:val="0"/>
          <w:sz w:val="32"/>
          <w:szCs w:val="32"/>
        </w:rPr>
        <w:t>文旅公共</w:t>
      </w:r>
      <w:proofErr w:type="gramEnd"/>
      <w:r>
        <w:rPr>
          <w:rFonts w:ascii="仿宋_GB2312" w:eastAsia="仿宋_GB2312" w:cs="仿宋" w:hint="eastAsia"/>
          <w:kern w:val="0"/>
          <w:sz w:val="32"/>
          <w:szCs w:val="32"/>
        </w:rPr>
        <w:t>服务体系日益完善，文物遗产保护传承不断深入，广播电视事业稳步发展，城市品牌形象日益彰显。</w:t>
      </w:r>
    </w:p>
    <w:p w:rsidR="009E7DEE" w:rsidRDefault="003B3BC9">
      <w:pPr>
        <w:spacing w:line="580" w:lineRule="exact"/>
        <w:ind w:firstLineChars="200" w:firstLine="640"/>
        <w:rPr>
          <w:sz w:val="32"/>
          <w:szCs w:val="32"/>
        </w:rPr>
      </w:pPr>
      <w:r>
        <w:rPr>
          <w:rFonts w:ascii="仿宋_GB2312" w:eastAsia="仿宋_GB2312" w:cs="仿宋" w:hint="eastAsia"/>
          <w:kern w:val="0"/>
          <w:sz w:val="32"/>
          <w:szCs w:val="32"/>
        </w:rPr>
        <w:t>根据市旅游</w:t>
      </w:r>
      <w:proofErr w:type="gramStart"/>
      <w:r>
        <w:rPr>
          <w:rFonts w:ascii="仿宋_GB2312" w:eastAsia="仿宋_GB2312" w:cs="仿宋" w:hint="eastAsia"/>
          <w:kern w:val="0"/>
          <w:sz w:val="32"/>
          <w:szCs w:val="32"/>
        </w:rPr>
        <w:t>文广局提供</w:t>
      </w:r>
      <w:proofErr w:type="gramEnd"/>
      <w:r>
        <w:rPr>
          <w:rFonts w:ascii="仿宋_GB2312" w:eastAsia="仿宋_GB2312" w:cs="仿宋" w:hint="eastAsia"/>
          <w:kern w:val="0"/>
          <w:sz w:val="32"/>
          <w:szCs w:val="32"/>
        </w:rPr>
        <w:t>资料，</w:t>
      </w:r>
      <w:r>
        <w:rPr>
          <w:rFonts w:ascii="仿宋_GB2312" w:eastAsia="仿宋_GB2312" w:cs="仿宋" w:hint="eastAsia"/>
          <w:kern w:val="0"/>
          <w:sz w:val="32"/>
          <w:szCs w:val="32"/>
        </w:rPr>
        <w:t>2021</w:t>
      </w:r>
      <w:r>
        <w:rPr>
          <w:rFonts w:ascii="仿宋_GB2312" w:eastAsia="仿宋_GB2312" w:cs="仿宋" w:hint="eastAsia"/>
          <w:kern w:val="0"/>
          <w:sz w:val="32"/>
          <w:szCs w:val="32"/>
        </w:rPr>
        <w:t>年全年共接待国内游客</w:t>
      </w:r>
      <w:r>
        <w:rPr>
          <w:rFonts w:ascii="仿宋_GB2312" w:eastAsia="仿宋_GB2312" w:cs="仿宋" w:hint="eastAsia"/>
          <w:kern w:val="0"/>
          <w:sz w:val="32"/>
          <w:szCs w:val="32"/>
        </w:rPr>
        <w:t>3122.93</w:t>
      </w:r>
      <w:r>
        <w:rPr>
          <w:rFonts w:ascii="仿宋_GB2312" w:eastAsia="仿宋_GB2312" w:cs="仿宋" w:hint="eastAsia"/>
          <w:kern w:val="0"/>
          <w:sz w:val="32"/>
          <w:szCs w:val="32"/>
        </w:rPr>
        <w:t>万人次，同比增长</w:t>
      </w:r>
      <w:r>
        <w:rPr>
          <w:rFonts w:ascii="仿宋_GB2312" w:eastAsia="仿宋_GB2312" w:cs="仿宋" w:hint="eastAsia"/>
          <w:kern w:val="0"/>
          <w:sz w:val="32"/>
          <w:szCs w:val="32"/>
        </w:rPr>
        <w:t>16.52%</w:t>
      </w:r>
      <w:r>
        <w:rPr>
          <w:rFonts w:ascii="仿宋_GB2312" w:eastAsia="仿宋_GB2312" w:cs="仿宋" w:hint="eastAsia"/>
          <w:kern w:val="0"/>
          <w:sz w:val="32"/>
          <w:szCs w:val="32"/>
        </w:rPr>
        <w:t>；实现旅游收入</w:t>
      </w:r>
      <w:r>
        <w:rPr>
          <w:rFonts w:ascii="仿宋_GB2312" w:eastAsia="仿宋_GB2312" w:cs="仿宋" w:hint="eastAsia"/>
          <w:kern w:val="0"/>
          <w:sz w:val="32"/>
          <w:szCs w:val="32"/>
        </w:rPr>
        <w:t>330.05</w:t>
      </w:r>
      <w:r>
        <w:rPr>
          <w:rFonts w:ascii="仿宋_GB2312" w:eastAsia="仿宋_GB2312" w:cs="仿宋" w:hint="eastAsia"/>
          <w:kern w:val="0"/>
          <w:sz w:val="32"/>
          <w:szCs w:val="32"/>
        </w:rPr>
        <w:t>亿元，同比增长</w:t>
      </w:r>
      <w:r>
        <w:rPr>
          <w:rFonts w:ascii="仿宋_GB2312" w:eastAsia="仿宋_GB2312" w:cs="仿宋" w:hint="eastAsia"/>
          <w:kern w:val="0"/>
          <w:sz w:val="32"/>
          <w:szCs w:val="32"/>
        </w:rPr>
        <w:t>12.52%</w:t>
      </w:r>
      <w:r>
        <w:rPr>
          <w:rFonts w:ascii="仿宋_GB2312" w:eastAsia="仿宋_GB2312" w:cs="仿宋" w:hint="eastAsia"/>
          <w:kern w:val="0"/>
          <w:sz w:val="32"/>
          <w:szCs w:val="32"/>
        </w:rPr>
        <w:t>。在</w:t>
      </w:r>
      <w:r>
        <w:rPr>
          <w:rFonts w:ascii="仿宋_GB2312" w:eastAsia="仿宋_GB2312" w:cs="仿宋" w:hint="eastAsia"/>
          <w:kern w:val="0"/>
          <w:sz w:val="32"/>
          <w:szCs w:val="32"/>
        </w:rPr>
        <w:t>由新华网主办的第八届文化和旅游融合创新论坛上，秦皇岛市成功入选“</w:t>
      </w:r>
      <w:r>
        <w:rPr>
          <w:rFonts w:ascii="仿宋_GB2312" w:eastAsia="仿宋_GB2312" w:cs="仿宋" w:hint="eastAsia"/>
          <w:kern w:val="0"/>
          <w:sz w:val="32"/>
          <w:szCs w:val="32"/>
        </w:rPr>
        <w:t>2021</w:t>
      </w:r>
      <w:r>
        <w:rPr>
          <w:rFonts w:ascii="仿宋_GB2312" w:eastAsia="仿宋_GB2312" w:cs="仿宋" w:hint="eastAsia"/>
          <w:kern w:val="0"/>
          <w:sz w:val="32"/>
          <w:szCs w:val="32"/>
        </w:rPr>
        <w:t>文旅高质量发展城市”名录。在中国旅游研究院发布的《中国海岸休闲城市竞争力报告》中，秦皇岛市入围“宜居宜游竞争力</w:t>
      </w:r>
      <w:r>
        <w:rPr>
          <w:rFonts w:ascii="仿宋_GB2312" w:eastAsia="仿宋_GB2312" w:cs="仿宋" w:hint="eastAsia"/>
          <w:kern w:val="0"/>
          <w:sz w:val="32"/>
          <w:szCs w:val="32"/>
        </w:rPr>
        <w:t>TOP10</w:t>
      </w:r>
      <w:r>
        <w:rPr>
          <w:rFonts w:ascii="仿宋_GB2312" w:eastAsia="仿宋_GB2312" w:cs="仿宋" w:hint="eastAsia"/>
          <w:kern w:val="0"/>
          <w:sz w:val="32"/>
          <w:szCs w:val="32"/>
        </w:rPr>
        <w:t>”榜单，提升了秦皇岛市</w:t>
      </w:r>
      <w:proofErr w:type="gramStart"/>
      <w:r>
        <w:rPr>
          <w:rFonts w:ascii="仿宋_GB2312" w:eastAsia="仿宋_GB2312" w:cs="仿宋" w:hint="eastAsia"/>
          <w:kern w:val="0"/>
          <w:sz w:val="32"/>
          <w:szCs w:val="32"/>
        </w:rPr>
        <w:t>文旅事业</w:t>
      </w:r>
      <w:proofErr w:type="gramEnd"/>
      <w:r>
        <w:rPr>
          <w:rFonts w:ascii="仿宋_GB2312" w:eastAsia="仿宋_GB2312" w:cs="仿宋" w:hint="eastAsia"/>
          <w:kern w:val="0"/>
          <w:sz w:val="32"/>
          <w:szCs w:val="32"/>
        </w:rPr>
        <w:t>发展水平。市旅游文广局部</w:t>
      </w:r>
      <w:proofErr w:type="gramStart"/>
      <w:r>
        <w:rPr>
          <w:rFonts w:ascii="仿宋_GB2312" w:eastAsia="仿宋_GB2312" w:cs="仿宋" w:hint="eastAsia"/>
          <w:kern w:val="0"/>
          <w:sz w:val="32"/>
          <w:szCs w:val="32"/>
        </w:rPr>
        <w:t>门整体</w:t>
      </w:r>
      <w:proofErr w:type="gramEnd"/>
      <w:r>
        <w:rPr>
          <w:rFonts w:ascii="仿宋_GB2312" w:eastAsia="仿宋_GB2312" w:cs="仿宋" w:hint="eastAsia"/>
          <w:kern w:val="0"/>
          <w:sz w:val="32"/>
          <w:szCs w:val="32"/>
        </w:rPr>
        <w:t>支出取得了一定的经济效益和社会效益，财政资金实际支出总体绩效良好，对推进文化铸魂，发挥文化赋能作用，加快一流国际旅游城市建设步伐发挥了重要作用。</w:t>
      </w:r>
    </w:p>
    <w:bookmarkEnd w:id="3"/>
    <w:bookmarkEnd w:id="4"/>
    <w:p w:rsidR="009E7DEE" w:rsidRDefault="003B3BC9" w:rsidP="00214BF2">
      <w:pPr>
        <w:snapToGrid w:val="0"/>
        <w:spacing w:line="580" w:lineRule="exact"/>
        <w:ind w:firstLineChars="200" w:firstLine="643"/>
        <w:rPr>
          <w:rFonts w:ascii="仿宋_GB2312" w:eastAsia="仿宋_GB2312" w:cs="仿宋"/>
          <w:kern w:val="0"/>
          <w:sz w:val="32"/>
          <w:szCs w:val="32"/>
        </w:rPr>
      </w:pPr>
      <w:r>
        <w:rPr>
          <w:rFonts w:ascii="仿宋_GB2312" w:eastAsia="仿宋_GB2312" w:cs="宋体" w:hint="eastAsia"/>
          <w:b/>
          <w:bCs/>
          <w:kern w:val="0"/>
          <w:sz w:val="32"/>
          <w:szCs w:val="32"/>
          <w:lang w:bidi="en-US"/>
        </w:rPr>
        <w:t>三、评价</w:t>
      </w:r>
      <w:r>
        <w:rPr>
          <w:rFonts w:ascii="仿宋_GB2312" w:eastAsia="仿宋_GB2312" w:cs="宋体" w:hint="eastAsia"/>
          <w:b/>
          <w:bCs/>
          <w:kern w:val="0"/>
          <w:sz w:val="32"/>
          <w:szCs w:val="32"/>
          <w:lang w:bidi="en-US"/>
        </w:rPr>
        <w:t>发现</w:t>
      </w:r>
      <w:r>
        <w:rPr>
          <w:rFonts w:ascii="仿宋_GB2312" w:eastAsia="仿宋_GB2312" w:cs="宋体" w:hint="eastAsia"/>
          <w:b/>
          <w:bCs/>
          <w:kern w:val="0"/>
          <w:sz w:val="32"/>
          <w:szCs w:val="32"/>
          <w:lang w:bidi="en-US"/>
        </w:rPr>
        <w:t>的问题</w:t>
      </w:r>
    </w:p>
    <w:p w:rsidR="009E7DEE" w:rsidRDefault="003B3BC9" w:rsidP="00214BF2">
      <w:pPr>
        <w:snapToGrid w:val="0"/>
        <w:spacing w:line="580" w:lineRule="exact"/>
        <w:ind w:firstLineChars="200" w:firstLine="643"/>
        <w:rPr>
          <w:rFonts w:ascii="仿宋_GB2312" w:eastAsia="仿宋_GB2312" w:cs="仿宋"/>
          <w:kern w:val="0"/>
          <w:sz w:val="32"/>
          <w:szCs w:val="32"/>
        </w:rPr>
      </w:pPr>
      <w:r>
        <w:rPr>
          <w:rFonts w:ascii="仿宋_GB2312" w:eastAsia="仿宋_GB2312" w:cs="仿宋" w:hint="eastAsia"/>
          <w:b/>
          <w:bCs/>
          <w:kern w:val="0"/>
          <w:sz w:val="32"/>
          <w:szCs w:val="32"/>
        </w:rPr>
        <w:lastRenderedPageBreak/>
        <w:t>（一）年初工作谋划制定较宽泛，指导性不强</w:t>
      </w:r>
    </w:p>
    <w:p w:rsidR="009E7DEE" w:rsidRDefault="003B3BC9">
      <w:pPr>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市旅游文广局部门各单位</w:t>
      </w:r>
      <w:r>
        <w:rPr>
          <w:rFonts w:ascii="仿宋_GB2312" w:eastAsia="仿宋_GB2312" w:cs="仿宋" w:hint="eastAsia"/>
          <w:kern w:val="0"/>
          <w:sz w:val="32"/>
          <w:szCs w:val="32"/>
        </w:rPr>
        <w:t>2021</w:t>
      </w:r>
      <w:r>
        <w:rPr>
          <w:rFonts w:ascii="仿宋_GB2312" w:eastAsia="仿宋_GB2312" w:cs="仿宋" w:hint="eastAsia"/>
          <w:kern w:val="0"/>
          <w:sz w:val="32"/>
          <w:szCs w:val="32"/>
        </w:rPr>
        <w:t>年未制定中长期计划，制</w:t>
      </w:r>
      <w:r>
        <w:rPr>
          <w:rFonts w:ascii="仿宋_GB2312" w:eastAsia="仿宋_GB2312" w:cs="仿宋" w:hint="eastAsia"/>
          <w:kern w:val="0"/>
          <w:sz w:val="32"/>
          <w:szCs w:val="32"/>
        </w:rPr>
        <w:t>定了</w:t>
      </w:r>
      <w:r>
        <w:rPr>
          <w:rFonts w:ascii="仿宋_GB2312" w:eastAsia="仿宋_GB2312" w:cs="仿宋" w:hint="eastAsia"/>
          <w:kern w:val="0"/>
          <w:sz w:val="32"/>
          <w:szCs w:val="32"/>
        </w:rPr>
        <w:t>2021</w:t>
      </w:r>
      <w:r>
        <w:rPr>
          <w:rFonts w:ascii="仿宋_GB2312" w:eastAsia="仿宋_GB2312" w:cs="仿宋" w:hint="eastAsia"/>
          <w:kern w:val="0"/>
          <w:sz w:val="32"/>
          <w:szCs w:val="32"/>
        </w:rPr>
        <w:t>年工作谋划，但工作谋划内容比较简单，只是宽泛地描述了计划开展的主要工作，未对各项重点工作项目预算安排资金情况、负责科室情况、计划完成时间和效果等进行具体规定，一方面造成工作谋划指导性不足，另一方面造成整体绩效目标与具体工作任务的匹配性不足，无法清晰地体现出实现目标需要完成的具体工作和完成方式、完成时间。</w:t>
      </w:r>
    </w:p>
    <w:p w:rsidR="009E7DEE" w:rsidRDefault="003B3BC9" w:rsidP="00214BF2">
      <w:pPr>
        <w:snapToGrid w:val="0"/>
        <w:spacing w:line="580" w:lineRule="exact"/>
        <w:ind w:firstLineChars="200" w:firstLine="643"/>
        <w:rPr>
          <w:rFonts w:ascii="仿宋_GB2312" w:eastAsia="仿宋_GB2312" w:cs="仿宋"/>
          <w:b/>
          <w:bCs/>
          <w:kern w:val="0"/>
          <w:sz w:val="32"/>
          <w:szCs w:val="32"/>
        </w:rPr>
      </w:pPr>
      <w:r>
        <w:rPr>
          <w:rFonts w:ascii="仿宋_GB2312" w:eastAsia="仿宋_GB2312" w:cs="仿宋" w:hint="eastAsia"/>
          <w:b/>
          <w:bCs/>
          <w:kern w:val="0"/>
          <w:sz w:val="32"/>
          <w:szCs w:val="32"/>
        </w:rPr>
        <w:t>（二）年度绩效目标设置不合理，不利于绩效考核，绩效目标编制工作有待加强</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市旅游</w:t>
      </w:r>
      <w:proofErr w:type="gramStart"/>
      <w:r>
        <w:rPr>
          <w:rFonts w:ascii="仿宋_GB2312" w:eastAsia="仿宋_GB2312" w:cs="仿宋" w:hint="eastAsia"/>
          <w:kern w:val="0"/>
          <w:sz w:val="32"/>
          <w:szCs w:val="32"/>
        </w:rPr>
        <w:t>文广局设置</w:t>
      </w:r>
      <w:proofErr w:type="gramEnd"/>
      <w:r>
        <w:rPr>
          <w:rFonts w:ascii="仿宋_GB2312" w:eastAsia="仿宋_GB2312" w:cs="仿宋" w:hint="eastAsia"/>
          <w:kern w:val="0"/>
          <w:sz w:val="32"/>
          <w:szCs w:val="32"/>
        </w:rPr>
        <w:t>指标时主要</w:t>
      </w:r>
      <w:proofErr w:type="gramStart"/>
      <w:r>
        <w:rPr>
          <w:rFonts w:ascii="仿宋_GB2312" w:eastAsia="仿宋_GB2312" w:cs="仿宋" w:hint="eastAsia"/>
          <w:kern w:val="0"/>
          <w:sz w:val="32"/>
          <w:szCs w:val="32"/>
        </w:rPr>
        <w:t>侧重局</w:t>
      </w:r>
      <w:proofErr w:type="gramEnd"/>
      <w:r>
        <w:rPr>
          <w:rFonts w:ascii="仿宋_GB2312" w:eastAsia="仿宋_GB2312" w:cs="仿宋" w:hint="eastAsia"/>
          <w:kern w:val="0"/>
          <w:sz w:val="32"/>
          <w:szCs w:val="32"/>
        </w:rPr>
        <w:t>本级工作内容，未涵盖所有下属单位职能和所有部门职责，也未涵盖重点项目支出内容，与工作计划匹</w:t>
      </w:r>
      <w:r>
        <w:rPr>
          <w:rFonts w:ascii="仿宋_GB2312" w:eastAsia="仿宋_GB2312" w:cs="仿宋" w:hint="eastAsia"/>
          <w:kern w:val="0"/>
          <w:sz w:val="32"/>
          <w:szCs w:val="32"/>
        </w:rPr>
        <w:t>配性不足。设置的</w:t>
      </w:r>
      <w:r>
        <w:rPr>
          <w:rFonts w:ascii="仿宋_GB2312" w:eastAsia="仿宋_GB2312" w:cs="仿宋" w:hint="eastAsia"/>
          <w:kern w:val="0"/>
          <w:sz w:val="32"/>
          <w:szCs w:val="32"/>
        </w:rPr>
        <w:t>12</w:t>
      </w:r>
      <w:r>
        <w:rPr>
          <w:rFonts w:ascii="仿宋_GB2312" w:eastAsia="仿宋_GB2312" w:cs="仿宋" w:hint="eastAsia"/>
          <w:kern w:val="0"/>
          <w:sz w:val="32"/>
          <w:szCs w:val="32"/>
        </w:rPr>
        <w:t>项分项绩效目标，设置指标时出现了重复指标、无效指标、指标描述不清晰等情况。个别具体项目存在绩效指标设置不准确、产出指标设置不齐全、成本指标未细化、量化等问题。</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（三）预算编制工作机制不完善，预算编制水平有待提高</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市旅游</w:t>
      </w:r>
      <w:proofErr w:type="gramStart"/>
      <w:r>
        <w:rPr>
          <w:rFonts w:ascii="仿宋_GB2312" w:eastAsia="仿宋_GB2312" w:cs="仿宋" w:hint="eastAsia"/>
          <w:kern w:val="0"/>
          <w:sz w:val="32"/>
          <w:szCs w:val="32"/>
        </w:rPr>
        <w:t>文广局</w:t>
      </w:r>
      <w:r>
        <w:rPr>
          <w:rFonts w:ascii="仿宋_GB2312" w:eastAsia="仿宋_GB2312" w:cs="仿宋" w:hint="eastAsia"/>
          <w:kern w:val="0"/>
          <w:sz w:val="32"/>
          <w:szCs w:val="32"/>
        </w:rPr>
        <w:t>2021</w:t>
      </w:r>
      <w:r>
        <w:rPr>
          <w:rFonts w:ascii="仿宋_GB2312" w:eastAsia="仿宋_GB2312" w:cs="仿宋" w:hint="eastAsia"/>
          <w:kern w:val="0"/>
          <w:sz w:val="32"/>
          <w:szCs w:val="32"/>
        </w:rPr>
        <w:t>年</w:t>
      </w:r>
      <w:proofErr w:type="gramEnd"/>
      <w:r>
        <w:rPr>
          <w:rFonts w:ascii="仿宋_GB2312" w:eastAsia="仿宋_GB2312" w:cs="仿宋" w:hint="eastAsia"/>
          <w:kern w:val="0"/>
          <w:sz w:val="32"/>
          <w:szCs w:val="32"/>
        </w:rPr>
        <w:t>部门支出预算编制依据秦皇岛市财政局预算管理办法进行，部门预算编制、分配符合本部门职责、符合市委市政府方针政策和工作要求。部门预算资金基本能够根据年度工作任务，在不同项目、不同用途之间进行了分配，但预算编制过程中仍然存在预算编制工作机制不完善、预算编制水平不高，预算编制准确性不够等问题。</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（四）内控制度落实不到位</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lastRenderedPageBreak/>
        <w:t>评价发现，各单位制定制度比较齐全，均制定了内部控制度（单位层面内部控制和业务层面控制制度），另外部分单位制定了业务管理专项管理制度，制度制定比较齐全，但在实际执行中存在未全部依</w:t>
      </w:r>
      <w:r>
        <w:rPr>
          <w:rFonts w:ascii="仿宋_GB2312" w:eastAsia="仿宋_GB2312" w:cs="仿宋" w:hint="eastAsia"/>
          <w:kern w:val="0"/>
          <w:sz w:val="32"/>
          <w:szCs w:val="32"/>
        </w:rPr>
        <w:t>据内控制度执行的情况，如：固定资产管理未定期盘点情况；合同执行不规范，</w:t>
      </w:r>
      <w:proofErr w:type="gramStart"/>
      <w:r>
        <w:rPr>
          <w:rFonts w:ascii="仿宋_GB2312" w:eastAsia="仿宋_GB2312" w:cs="仿宋" w:hint="eastAsia"/>
          <w:kern w:val="0"/>
          <w:sz w:val="32"/>
          <w:szCs w:val="32"/>
        </w:rPr>
        <w:t>未依据</w:t>
      </w:r>
      <w:proofErr w:type="gramEnd"/>
      <w:r>
        <w:rPr>
          <w:rFonts w:ascii="仿宋_GB2312" w:eastAsia="仿宋_GB2312" w:cs="仿宋" w:hint="eastAsia"/>
          <w:kern w:val="0"/>
          <w:sz w:val="32"/>
          <w:szCs w:val="32"/>
        </w:rPr>
        <w:t>合同验收和追踪评审情况等。</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highlight w:val="green"/>
        </w:rPr>
      </w:pPr>
      <w:r>
        <w:rPr>
          <w:rFonts w:ascii="仿宋_GB2312" w:eastAsia="仿宋_GB2312" w:cs="仿宋" w:hint="eastAsia"/>
          <w:b/>
          <w:kern w:val="0"/>
          <w:sz w:val="32"/>
          <w:szCs w:val="32"/>
        </w:rPr>
        <w:t>（五）个别项目存在结转结余资金，影响财政资金使用效益</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2021</w:t>
      </w:r>
      <w:r>
        <w:rPr>
          <w:rFonts w:ascii="仿宋_GB2312" w:eastAsia="仿宋_GB2312" w:cs="仿宋" w:hint="eastAsia"/>
          <w:kern w:val="0"/>
          <w:sz w:val="32"/>
          <w:szCs w:val="32"/>
        </w:rPr>
        <w:t>年</w:t>
      </w:r>
      <w:r>
        <w:rPr>
          <w:rFonts w:ascii="仿宋_GB2312" w:eastAsia="仿宋_GB2312" w:cs="仿宋"/>
          <w:kern w:val="0"/>
          <w:sz w:val="32"/>
          <w:szCs w:val="32"/>
        </w:rPr>
        <w:t>，</w:t>
      </w:r>
      <w:r>
        <w:rPr>
          <w:rFonts w:ascii="仿宋_GB2312" w:eastAsia="仿宋_GB2312" w:cs="仿宋" w:hint="eastAsia"/>
          <w:kern w:val="0"/>
          <w:sz w:val="32"/>
          <w:szCs w:val="32"/>
        </w:rPr>
        <w:t>市旅游局文广局部门年末结转结余</w:t>
      </w:r>
      <w:r>
        <w:rPr>
          <w:rFonts w:ascii="仿宋_GB2312" w:eastAsia="仿宋_GB2312" w:cs="仿宋" w:hint="eastAsia"/>
          <w:kern w:val="0"/>
          <w:sz w:val="32"/>
          <w:szCs w:val="32"/>
        </w:rPr>
        <w:t>310.95</w:t>
      </w:r>
      <w:r>
        <w:rPr>
          <w:rFonts w:ascii="仿宋_GB2312" w:eastAsia="仿宋_GB2312" w:cs="仿宋" w:hint="eastAsia"/>
          <w:kern w:val="0"/>
          <w:sz w:val="32"/>
          <w:szCs w:val="32"/>
        </w:rPr>
        <w:t>万元，为非财政拨款结转结余，其中：基本支出结转</w:t>
      </w:r>
      <w:r>
        <w:rPr>
          <w:rFonts w:ascii="仿宋_GB2312" w:eastAsia="仿宋_GB2312" w:cs="仿宋" w:hint="eastAsia"/>
          <w:kern w:val="0"/>
          <w:sz w:val="32"/>
          <w:szCs w:val="32"/>
        </w:rPr>
        <w:t>3.06</w:t>
      </w:r>
      <w:r>
        <w:rPr>
          <w:rFonts w:ascii="仿宋_GB2312" w:eastAsia="仿宋_GB2312" w:cs="仿宋" w:hint="eastAsia"/>
          <w:kern w:val="0"/>
          <w:sz w:val="32"/>
          <w:szCs w:val="32"/>
        </w:rPr>
        <w:t>万元、项目支出结转结余</w:t>
      </w:r>
      <w:r>
        <w:rPr>
          <w:rFonts w:ascii="仿宋_GB2312" w:eastAsia="仿宋_GB2312" w:cs="仿宋" w:hint="eastAsia"/>
          <w:kern w:val="0"/>
          <w:sz w:val="32"/>
          <w:szCs w:val="32"/>
        </w:rPr>
        <w:t>307.89</w:t>
      </w:r>
      <w:r>
        <w:rPr>
          <w:rFonts w:ascii="仿宋_GB2312" w:eastAsia="仿宋_GB2312" w:cs="仿宋" w:hint="eastAsia"/>
          <w:kern w:val="0"/>
          <w:sz w:val="32"/>
          <w:szCs w:val="32"/>
        </w:rPr>
        <w:t>万元，结余结转率</w:t>
      </w:r>
      <w:r>
        <w:rPr>
          <w:rFonts w:ascii="仿宋_GB2312" w:eastAsia="仿宋_GB2312" w:cs="仿宋"/>
          <w:kern w:val="0"/>
          <w:sz w:val="32"/>
          <w:szCs w:val="32"/>
        </w:rPr>
        <w:t>为</w:t>
      </w:r>
      <w:r>
        <w:rPr>
          <w:rFonts w:ascii="仿宋_GB2312" w:eastAsia="仿宋_GB2312" w:cs="仿宋" w:hint="eastAsia"/>
          <w:kern w:val="0"/>
          <w:sz w:val="32"/>
          <w:szCs w:val="32"/>
        </w:rPr>
        <w:t>3%</w:t>
      </w:r>
      <w:r>
        <w:rPr>
          <w:rFonts w:ascii="仿宋_GB2312" w:eastAsia="仿宋_GB2312" w:cs="仿宋" w:hint="eastAsia"/>
          <w:kern w:val="0"/>
          <w:sz w:val="32"/>
          <w:szCs w:val="32"/>
        </w:rPr>
        <w:t>，</w:t>
      </w:r>
      <w:r>
        <w:rPr>
          <w:rFonts w:ascii="仿宋_GB2312" w:eastAsia="仿宋_GB2312" w:cs="仿宋"/>
          <w:kern w:val="0"/>
          <w:sz w:val="32"/>
          <w:szCs w:val="32"/>
        </w:rPr>
        <w:t>该部分资金未能及时发挥使用绩效。</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（六）个别项目实施效果不理想</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市旅游</w:t>
      </w:r>
      <w:proofErr w:type="gramStart"/>
      <w:r>
        <w:rPr>
          <w:rFonts w:ascii="仿宋_GB2312" w:eastAsia="仿宋_GB2312" w:cs="仿宋" w:hint="eastAsia"/>
          <w:kern w:val="0"/>
          <w:sz w:val="32"/>
          <w:szCs w:val="32"/>
        </w:rPr>
        <w:t>文广局财政资金</w:t>
      </w:r>
      <w:proofErr w:type="gramEnd"/>
      <w:r>
        <w:rPr>
          <w:rFonts w:ascii="仿宋_GB2312" w:eastAsia="仿宋_GB2312" w:cs="仿宋" w:hint="eastAsia"/>
          <w:kern w:val="0"/>
          <w:sz w:val="32"/>
          <w:szCs w:val="32"/>
        </w:rPr>
        <w:t>实际支出总体绩效良好，对我市文化事业发展发挥了推动和促进作用，但个别项目由于受到前期调研不充分，群众知晓</w:t>
      </w:r>
      <w:r>
        <w:rPr>
          <w:rFonts w:ascii="仿宋_GB2312" w:eastAsia="仿宋_GB2312" w:cs="仿宋" w:hint="eastAsia"/>
          <w:kern w:val="0"/>
          <w:sz w:val="32"/>
          <w:szCs w:val="32"/>
        </w:rPr>
        <w:t>度、认可度偏低，新冠疫情影响等因素制约，实施绩效情况不理想。如：</w:t>
      </w:r>
      <w:r>
        <w:rPr>
          <w:rFonts w:ascii="仿宋_GB2312" w:eastAsia="仿宋_GB2312" w:cs="仿宋" w:hint="eastAsia"/>
          <w:kern w:val="0"/>
          <w:sz w:val="32"/>
          <w:szCs w:val="32"/>
        </w:rPr>
        <w:t>2021</w:t>
      </w:r>
      <w:r>
        <w:rPr>
          <w:rFonts w:ascii="仿宋_GB2312" w:eastAsia="仿宋_GB2312" w:cs="仿宋" w:hint="eastAsia"/>
          <w:kern w:val="0"/>
          <w:sz w:val="32"/>
          <w:szCs w:val="32"/>
        </w:rPr>
        <w:t>年度文化</w:t>
      </w:r>
      <w:proofErr w:type="gramStart"/>
      <w:r>
        <w:rPr>
          <w:rFonts w:ascii="仿宋_GB2312" w:eastAsia="仿宋_GB2312" w:cs="仿宋" w:hint="eastAsia"/>
          <w:kern w:val="0"/>
          <w:sz w:val="32"/>
          <w:szCs w:val="32"/>
        </w:rPr>
        <w:t>惠民卡</w:t>
      </w:r>
      <w:proofErr w:type="gramEnd"/>
      <w:r>
        <w:rPr>
          <w:rFonts w:ascii="仿宋_GB2312" w:eastAsia="仿宋_GB2312" w:cs="仿宋" w:hint="eastAsia"/>
          <w:kern w:val="0"/>
          <w:sz w:val="32"/>
          <w:szCs w:val="32"/>
        </w:rPr>
        <w:t>项目，</w:t>
      </w:r>
      <w:r>
        <w:rPr>
          <w:rFonts w:ascii="仿宋_GB2312" w:eastAsia="仿宋_GB2312" w:cs="仿宋"/>
          <w:kern w:val="0"/>
          <w:sz w:val="32"/>
          <w:szCs w:val="32"/>
        </w:rPr>
        <w:t>虽然发放</w:t>
      </w:r>
      <w:r>
        <w:rPr>
          <w:rFonts w:ascii="仿宋_GB2312" w:eastAsia="仿宋_GB2312" w:cs="仿宋" w:hint="eastAsia"/>
          <w:kern w:val="0"/>
          <w:sz w:val="32"/>
          <w:szCs w:val="32"/>
        </w:rPr>
        <w:t>数量达到了省级任务标准并通过考核验收，但项目整体组织实施</w:t>
      </w:r>
      <w:r>
        <w:rPr>
          <w:rFonts w:ascii="仿宋_GB2312" w:eastAsia="仿宋_GB2312" w:cs="仿宋"/>
          <w:kern w:val="0"/>
          <w:sz w:val="32"/>
          <w:szCs w:val="32"/>
        </w:rPr>
        <w:t>情况不理想，</w:t>
      </w:r>
      <w:r>
        <w:rPr>
          <w:rFonts w:ascii="仿宋_GB2312" w:eastAsia="仿宋_GB2312" w:cs="仿宋" w:hint="eastAsia"/>
          <w:kern w:val="0"/>
          <w:sz w:val="32"/>
          <w:szCs w:val="32"/>
        </w:rPr>
        <w:t>部分文化演出</w:t>
      </w:r>
      <w:r>
        <w:rPr>
          <w:rFonts w:ascii="仿宋_GB2312" w:eastAsia="仿宋_GB2312" w:cs="仿宋"/>
          <w:kern w:val="0"/>
          <w:sz w:val="32"/>
          <w:szCs w:val="32"/>
        </w:rPr>
        <w:t>活动</w:t>
      </w:r>
      <w:r>
        <w:rPr>
          <w:rFonts w:ascii="仿宋_GB2312" w:eastAsia="仿宋_GB2312" w:cs="仿宋" w:hint="eastAsia"/>
          <w:kern w:val="0"/>
          <w:sz w:val="32"/>
          <w:szCs w:val="32"/>
        </w:rPr>
        <w:t>未能按计划时间举行，演出活动完成率仅为</w:t>
      </w:r>
      <w:r>
        <w:rPr>
          <w:rFonts w:ascii="仿宋_GB2312" w:eastAsia="仿宋_GB2312" w:cs="仿宋" w:hint="eastAsia"/>
          <w:kern w:val="0"/>
          <w:sz w:val="32"/>
          <w:szCs w:val="32"/>
        </w:rPr>
        <w:t>36%</w:t>
      </w:r>
      <w:r>
        <w:rPr>
          <w:rFonts w:ascii="仿宋_GB2312" w:eastAsia="仿宋_GB2312" w:cs="仿宋" w:hint="eastAsia"/>
          <w:kern w:val="0"/>
          <w:sz w:val="32"/>
          <w:szCs w:val="32"/>
        </w:rPr>
        <w:t>，未能按承诺及时向广大市民提供文化惠民产品，影响了文化惠民政策实施效果</w:t>
      </w:r>
      <w:r>
        <w:rPr>
          <w:rFonts w:ascii="仿宋_GB2312" w:eastAsia="仿宋_GB2312" w:cs="仿宋"/>
          <w:kern w:val="0"/>
          <w:sz w:val="32"/>
          <w:szCs w:val="32"/>
        </w:rPr>
        <w:t>。同时，</w:t>
      </w:r>
      <w:r>
        <w:rPr>
          <w:rFonts w:ascii="仿宋_GB2312" w:eastAsia="仿宋_GB2312" w:cs="仿宋" w:hint="eastAsia"/>
          <w:kern w:val="0"/>
          <w:sz w:val="32"/>
          <w:szCs w:val="32"/>
        </w:rPr>
        <w:t>在燕山大学创建</w:t>
      </w:r>
      <w:r>
        <w:rPr>
          <w:rFonts w:ascii="仿宋_GB2312" w:eastAsia="仿宋_GB2312" w:cs="仿宋"/>
          <w:kern w:val="0"/>
          <w:sz w:val="32"/>
          <w:szCs w:val="32"/>
        </w:rPr>
        <w:t>的</w:t>
      </w:r>
      <w:r>
        <w:rPr>
          <w:rFonts w:ascii="仿宋_GB2312" w:eastAsia="仿宋_GB2312" w:cs="仿宋" w:hint="eastAsia"/>
          <w:kern w:val="0"/>
          <w:sz w:val="32"/>
          <w:szCs w:val="32"/>
        </w:rPr>
        <w:t>非</w:t>
      </w:r>
      <w:proofErr w:type="gramStart"/>
      <w:r>
        <w:rPr>
          <w:rFonts w:ascii="仿宋_GB2312" w:eastAsia="仿宋_GB2312" w:cs="仿宋" w:hint="eastAsia"/>
          <w:kern w:val="0"/>
          <w:sz w:val="32"/>
          <w:szCs w:val="32"/>
        </w:rPr>
        <w:t>遗项目“青龙皮影戏”研学基地</w:t>
      </w:r>
      <w:proofErr w:type="gramEnd"/>
      <w:r>
        <w:rPr>
          <w:rFonts w:ascii="仿宋_GB2312" w:eastAsia="仿宋_GB2312" w:cs="仿宋"/>
          <w:kern w:val="0"/>
          <w:sz w:val="32"/>
          <w:szCs w:val="32"/>
        </w:rPr>
        <w:t>和</w:t>
      </w:r>
      <w:r>
        <w:rPr>
          <w:rFonts w:ascii="仿宋_GB2312" w:eastAsia="仿宋_GB2312" w:cs="仿宋" w:hint="eastAsia"/>
          <w:kern w:val="0"/>
          <w:sz w:val="32"/>
          <w:szCs w:val="32"/>
        </w:rPr>
        <w:t>在秦皇岛戴河故事旅游发展有限公司创建</w:t>
      </w:r>
      <w:r>
        <w:rPr>
          <w:rFonts w:ascii="仿宋_GB2312" w:eastAsia="仿宋_GB2312" w:cs="仿宋"/>
          <w:kern w:val="0"/>
          <w:sz w:val="32"/>
          <w:szCs w:val="32"/>
        </w:rPr>
        <w:t>的</w:t>
      </w:r>
      <w:r>
        <w:rPr>
          <w:rFonts w:ascii="仿宋_GB2312" w:eastAsia="仿宋_GB2312" w:cs="仿宋" w:hint="eastAsia"/>
          <w:kern w:val="0"/>
          <w:sz w:val="32"/>
          <w:szCs w:val="32"/>
        </w:rPr>
        <w:t>非遗“美食”</w:t>
      </w:r>
      <w:proofErr w:type="gramStart"/>
      <w:r>
        <w:rPr>
          <w:rFonts w:ascii="仿宋_GB2312" w:eastAsia="仿宋_GB2312" w:cs="仿宋" w:hint="eastAsia"/>
          <w:kern w:val="0"/>
          <w:sz w:val="32"/>
          <w:szCs w:val="32"/>
        </w:rPr>
        <w:t>研</w:t>
      </w:r>
      <w:proofErr w:type="gramEnd"/>
      <w:r>
        <w:rPr>
          <w:rFonts w:ascii="仿宋_GB2312" w:eastAsia="仿宋_GB2312" w:cs="仿宋" w:hint="eastAsia"/>
          <w:kern w:val="0"/>
          <w:sz w:val="32"/>
          <w:szCs w:val="32"/>
        </w:rPr>
        <w:t>学基地，打造</w:t>
      </w:r>
      <w:r>
        <w:rPr>
          <w:rFonts w:ascii="仿宋_GB2312" w:eastAsia="仿宋_GB2312" w:cs="仿宋"/>
          <w:kern w:val="0"/>
          <w:sz w:val="32"/>
          <w:szCs w:val="32"/>
        </w:rPr>
        <w:t>的</w:t>
      </w:r>
      <w:r>
        <w:rPr>
          <w:rFonts w:ascii="仿宋_GB2312" w:eastAsia="仿宋_GB2312" w:cs="仿宋" w:hint="eastAsia"/>
          <w:kern w:val="0"/>
          <w:sz w:val="32"/>
          <w:szCs w:val="32"/>
        </w:rPr>
        <w:t>非遗餐厅，</w:t>
      </w:r>
      <w:r>
        <w:rPr>
          <w:rFonts w:ascii="仿宋_GB2312" w:eastAsia="仿宋_GB2312" w:cs="仿宋"/>
          <w:kern w:val="0"/>
          <w:sz w:val="32"/>
          <w:szCs w:val="32"/>
        </w:rPr>
        <w:t>受</w:t>
      </w:r>
      <w:r>
        <w:rPr>
          <w:rFonts w:ascii="仿宋_GB2312" w:eastAsia="仿宋_GB2312" w:cs="仿宋" w:hint="eastAsia"/>
          <w:kern w:val="0"/>
          <w:sz w:val="32"/>
          <w:szCs w:val="32"/>
        </w:rPr>
        <w:t>疫情</w:t>
      </w:r>
      <w:r>
        <w:rPr>
          <w:rFonts w:ascii="仿宋_GB2312" w:eastAsia="仿宋_GB2312" w:cs="仿宋"/>
          <w:kern w:val="0"/>
          <w:sz w:val="32"/>
          <w:szCs w:val="32"/>
        </w:rPr>
        <w:t>影响</w:t>
      </w:r>
      <w:r>
        <w:rPr>
          <w:rFonts w:ascii="仿宋_GB2312" w:eastAsia="仿宋_GB2312" w:cs="仿宋" w:hint="eastAsia"/>
          <w:kern w:val="0"/>
          <w:sz w:val="32"/>
          <w:szCs w:val="32"/>
        </w:rPr>
        <w:t>，</w:t>
      </w:r>
      <w:r>
        <w:rPr>
          <w:rFonts w:ascii="仿宋_GB2312" w:eastAsia="仿宋_GB2312" w:cs="仿宋"/>
          <w:kern w:val="0"/>
          <w:sz w:val="32"/>
          <w:szCs w:val="32"/>
        </w:rPr>
        <w:t>实施效果未达</w:t>
      </w:r>
      <w:r>
        <w:rPr>
          <w:rFonts w:ascii="仿宋_GB2312" w:eastAsia="仿宋_GB2312" w:cs="仿宋" w:hint="eastAsia"/>
          <w:kern w:val="0"/>
          <w:sz w:val="32"/>
          <w:szCs w:val="32"/>
        </w:rPr>
        <w:t>预期</w:t>
      </w:r>
      <w:r>
        <w:rPr>
          <w:rFonts w:ascii="仿宋_GB2312" w:eastAsia="仿宋_GB2312" w:cs="仿宋"/>
          <w:kern w:val="0"/>
          <w:sz w:val="32"/>
          <w:szCs w:val="32"/>
        </w:rPr>
        <w:t>。</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（七）资金监管工作待完善</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未形成统一的资金统筹与协</w:t>
      </w:r>
      <w:r>
        <w:rPr>
          <w:rFonts w:ascii="仿宋_GB2312" w:eastAsia="仿宋_GB2312" w:cs="仿宋" w:hint="eastAsia"/>
          <w:kern w:val="0"/>
          <w:sz w:val="32"/>
          <w:szCs w:val="32"/>
        </w:rPr>
        <w:t>调机制。市旅游</w:t>
      </w:r>
      <w:proofErr w:type="gramStart"/>
      <w:r>
        <w:rPr>
          <w:rFonts w:ascii="仿宋_GB2312" w:eastAsia="仿宋_GB2312" w:cs="仿宋" w:hint="eastAsia"/>
          <w:kern w:val="0"/>
          <w:sz w:val="32"/>
          <w:szCs w:val="32"/>
        </w:rPr>
        <w:t>文广局对</w:t>
      </w:r>
      <w:proofErr w:type="gramEnd"/>
      <w:r>
        <w:rPr>
          <w:rFonts w:ascii="仿宋_GB2312" w:eastAsia="仿宋_GB2312" w:cs="仿宋" w:hint="eastAsia"/>
          <w:kern w:val="0"/>
          <w:sz w:val="32"/>
          <w:szCs w:val="32"/>
        </w:rPr>
        <w:t>下属单</w:t>
      </w:r>
      <w:r>
        <w:rPr>
          <w:rFonts w:ascii="仿宋_GB2312" w:eastAsia="仿宋_GB2312" w:cs="仿宋" w:hint="eastAsia"/>
          <w:kern w:val="0"/>
          <w:sz w:val="32"/>
          <w:szCs w:val="32"/>
        </w:rPr>
        <w:lastRenderedPageBreak/>
        <w:t>位资金的具体使用情况掌握不全面，对专项资金使用、管理情况的整体掌握和动态跟踪制度有待健全，对资金执行效果的关注度不够。</w:t>
      </w:r>
    </w:p>
    <w:p w:rsidR="009E7DEE" w:rsidRDefault="003B3BC9" w:rsidP="00214BF2">
      <w:pPr>
        <w:adjustRightInd w:val="0"/>
        <w:snapToGrid w:val="0"/>
        <w:spacing w:line="58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w:t>
      </w:r>
      <w:r>
        <w:rPr>
          <w:rFonts w:ascii="仿宋_GB2312" w:eastAsia="仿宋_GB2312" w:hint="eastAsia"/>
          <w:b/>
          <w:kern w:val="0"/>
          <w:sz w:val="32"/>
          <w:szCs w:val="32"/>
        </w:rPr>
        <w:t>评价</w:t>
      </w:r>
      <w:r>
        <w:rPr>
          <w:rFonts w:ascii="仿宋_GB2312" w:eastAsia="仿宋_GB2312" w:hint="eastAsia"/>
          <w:b/>
          <w:kern w:val="0"/>
          <w:sz w:val="32"/>
          <w:szCs w:val="32"/>
        </w:rPr>
        <w:t>建议</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（一）加强部门工作计划的编制工作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市旅游</w:t>
      </w:r>
      <w:proofErr w:type="gramStart"/>
      <w:r>
        <w:rPr>
          <w:rFonts w:ascii="仿宋_GB2312" w:eastAsia="仿宋_GB2312" w:cs="仿宋" w:hint="eastAsia"/>
          <w:kern w:val="0"/>
          <w:sz w:val="32"/>
          <w:szCs w:val="32"/>
        </w:rPr>
        <w:t>文广局编制</w:t>
      </w:r>
      <w:proofErr w:type="gramEnd"/>
      <w:r>
        <w:rPr>
          <w:rFonts w:ascii="仿宋_GB2312" w:eastAsia="仿宋_GB2312" w:cs="仿宋" w:hint="eastAsia"/>
          <w:kern w:val="0"/>
          <w:sz w:val="32"/>
          <w:szCs w:val="32"/>
        </w:rPr>
        <w:t>部门中长期规划和年度工作计划时，应结合上一年度的工作实施情况、部门的自身情况以及国家出台的相应政策，紧紧围绕部门整体绩效目标来进行，应明确划分年度重点工作，细化年度重点工作内容，并设定各个阶段的财务资金计划，定期跟踪部门</w:t>
      </w:r>
      <w:r>
        <w:rPr>
          <w:rFonts w:ascii="仿宋_GB2312" w:eastAsia="仿宋_GB2312" w:cs="仿宋"/>
          <w:kern w:val="0"/>
          <w:sz w:val="32"/>
          <w:szCs w:val="32"/>
        </w:rPr>
        <w:t>各项</w:t>
      </w:r>
      <w:r>
        <w:rPr>
          <w:rFonts w:ascii="仿宋_GB2312" w:eastAsia="仿宋_GB2312" w:cs="仿宋" w:hint="eastAsia"/>
          <w:kern w:val="0"/>
          <w:sz w:val="32"/>
          <w:szCs w:val="32"/>
        </w:rPr>
        <w:t>工作</w:t>
      </w:r>
      <w:r>
        <w:rPr>
          <w:rFonts w:ascii="仿宋_GB2312" w:eastAsia="仿宋_GB2312" w:cs="仿宋"/>
          <w:kern w:val="0"/>
          <w:sz w:val="32"/>
          <w:szCs w:val="32"/>
        </w:rPr>
        <w:t>进度及</w:t>
      </w:r>
      <w:r>
        <w:rPr>
          <w:rFonts w:ascii="仿宋_GB2312" w:eastAsia="仿宋_GB2312" w:cs="仿宋" w:hint="eastAsia"/>
          <w:kern w:val="0"/>
          <w:sz w:val="32"/>
          <w:szCs w:val="32"/>
        </w:rPr>
        <w:t>资金使用情况，进一步提升过程监管质量。</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（二）强化部门绩效管理体系建设，提高绩效考核水平</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围绕中长期规划和年度工作计划，</w:t>
      </w:r>
      <w:proofErr w:type="gramStart"/>
      <w:r>
        <w:rPr>
          <w:rFonts w:ascii="仿宋_GB2312" w:eastAsia="仿宋_GB2312" w:cs="仿宋" w:hint="eastAsia"/>
          <w:kern w:val="0"/>
          <w:sz w:val="32"/>
          <w:szCs w:val="32"/>
        </w:rPr>
        <w:t>立足市</w:t>
      </w:r>
      <w:proofErr w:type="gramEnd"/>
      <w:r>
        <w:rPr>
          <w:rFonts w:ascii="仿宋_GB2312" w:eastAsia="仿宋_GB2312" w:cs="仿宋" w:hint="eastAsia"/>
          <w:kern w:val="0"/>
          <w:sz w:val="32"/>
          <w:szCs w:val="32"/>
        </w:rPr>
        <w:t>旅游文</w:t>
      </w:r>
      <w:proofErr w:type="gramStart"/>
      <w:r>
        <w:rPr>
          <w:rFonts w:ascii="仿宋_GB2312" w:eastAsia="仿宋_GB2312" w:cs="仿宋" w:hint="eastAsia"/>
          <w:kern w:val="0"/>
          <w:sz w:val="32"/>
          <w:szCs w:val="32"/>
        </w:rPr>
        <w:t>广局统筹</w:t>
      </w:r>
      <w:proofErr w:type="gramEnd"/>
      <w:r>
        <w:rPr>
          <w:rFonts w:ascii="仿宋_GB2312" w:eastAsia="仿宋_GB2312" w:cs="仿宋" w:hint="eastAsia"/>
          <w:kern w:val="0"/>
          <w:sz w:val="32"/>
          <w:szCs w:val="32"/>
        </w:rPr>
        <w:t>协调全市旅游文化事业发展的职责定位，细化、量化部门绩效目标。具体建议如下：</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1.</w:t>
      </w:r>
      <w:r>
        <w:rPr>
          <w:rFonts w:ascii="仿宋_GB2312" w:eastAsia="仿宋_GB2312" w:cs="仿宋" w:hint="eastAsia"/>
          <w:kern w:val="0"/>
          <w:sz w:val="32"/>
          <w:szCs w:val="32"/>
        </w:rPr>
        <w:t>严格按照绩效管理制度规定，结合绩效管理的目的、意义、性质和特点，以及组织实施绩效管理的程序、步骤、方法、原则和要求执行，从制度设计应包含目标设计（数量、质量、成本、时间、社会效益等）、过程指导、考核反馈和激励发展等四个环节加强监管。</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w:t>
      </w:r>
      <w:r>
        <w:rPr>
          <w:rFonts w:ascii="仿宋_GB2312" w:eastAsia="仿宋_GB2312" w:cs="仿宋" w:hint="eastAsia"/>
          <w:kern w:val="0"/>
          <w:sz w:val="32"/>
          <w:szCs w:val="32"/>
        </w:rPr>
        <w:t>结合年度重点工作计划和部门职能设定部门整体目标，结合专项资金的性质设定专项资金的目标。</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一是整体绩效目标要全面体现年</w:t>
      </w:r>
      <w:proofErr w:type="gramStart"/>
      <w:r>
        <w:rPr>
          <w:rFonts w:ascii="仿宋_GB2312" w:eastAsia="仿宋_GB2312" w:cs="仿宋" w:hint="eastAsia"/>
          <w:kern w:val="0"/>
          <w:sz w:val="32"/>
          <w:szCs w:val="32"/>
        </w:rPr>
        <w:t>度重点</w:t>
      </w:r>
      <w:proofErr w:type="gramEnd"/>
      <w:r>
        <w:rPr>
          <w:rFonts w:ascii="仿宋_GB2312" w:eastAsia="仿宋_GB2312" w:cs="仿宋" w:hint="eastAsia"/>
          <w:kern w:val="0"/>
          <w:sz w:val="32"/>
          <w:szCs w:val="32"/>
        </w:rPr>
        <w:t>工作计划和项目单位的职能，建议项目单位根据实际的职能</w:t>
      </w:r>
      <w:proofErr w:type="gramStart"/>
      <w:r>
        <w:rPr>
          <w:rFonts w:ascii="仿宋_GB2312" w:eastAsia="仿宋_GB2312" w:cs="仿宋" w:hint="eastAsia"/>
          <w:kern w:val="0"/>
          <w:sz w:val="32"/>
          <w:szCs w:val="32"/>
        </w:rPr>
        <w:t>块确定</w:t>
      </w:r>
      <w:proofErr w:type="gramEnd"/>
      <w:r>
        <w:rPr>
          <w:rFonts w:ascii="仿宋_GB2312" w:eastAsia="仿宋_GB2312" w:cs="仿宋" w:hint="eastAsia"/>
          <w:kern w:val="0"/>
          <w:sz w:val="32"/>
          <w:szCs w:val="32"/>
        </w:rPr>
        <w:t>每个职能块的目标，</w:t>
      </w:r>
      <w:r>
        <w:rPr>
          <w:rFonts w:ascii="仿宋_GB2312" w:eastAsia="仿宋_GB2312" w:cs="仿宋" w:hint="eastAsia"/>
          <w:kern w:val="0"/>
          <w:sz w:val="32"/>
          <w:szCs w:val="32"/>
        </w:rPr>
        <w:lastRenderedPageBreak/>
        <w:t>并将重点工作计划归口到具体的职能块，设定合理的目标值。</w:t>
      </w:r>
      <w:r>
        <w:rPr>
          <w:rFonts w:ascii="仿宋_GB2312" w:eastAsia="仿宋_GB2312" w:cs="仿宋" w:hint="eastAsia"/>
          <w:kern w:val="0"/>
          <w:sz w:val="32"/>
          <w:szCs w:val="32"/>
        </w:rPr>
        <w:t xml:space="preserve"> </w:t>
      </w:r>
      <w:r>
        <w:rPr>
          <w:rFonts w:ascii="仿宋_GB2312" w:eastAsia="仿宋_GB2312" w:cs="仿宋" w:hint="eastAsia"/>
          <w:kern w:val="0"/>
          <w:sz w:val="32"/>
          <w:szCs w:val="32"/>
        </w:rPr>
        <w:t>二是目标的设定需要与具体的工作任务性质和资金量挂钩，对于有重点任务指标的处室要合理安排资金，通过资金的安排推动相对的处室积极主动开展相关的活动，以更快更好地实现预期目标。三是部门整体的绩效指标的目标值设置要尽可能地细化，避免过于笼统和定性描述，尽量设定量化的可考核的目标。</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（三）科学规划，立足全局，提高预算编制精确性</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优化预算编制流程，优化支出</w:t>
      </w:r>
      <w:r>
        <w:rPr>
          <w:rFonts w:ascii="仿宋_GB2312" w:eastAsia="仿宋_GB2312" w:cs="仿宋" w:hint="eastAsia"/>
          <w:kern w:val="0"/>
          <w:sz w:val="32"/>
          <w:szCs w:val="32"/>
        </w:rPr>
        <w:t>预算结构，推进预算编制与资金分配的科学化、精细化管理，及时处理部分支出固化项目，并根据项目进度调整预算安排。</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1.</w:t>
      </w:r>
      <w:r>
        <w:rPr>
          <w:rFonts w:ascii="仿宋_GB2312" w:eastAsia="仿宋_GB2312" w:cs="仿宋" w:hint="eastAsia"/>
          <w:kern w:val="0"/>
          <w:sz w:val="32"/>
          <w:szCs w:val="32"/>
        </w:rPr>
        <w:t>根据部门近三年实际支出情况，合理测算各职能模块各类别项目支出的占比情况，依据部门中长期发展工作目标，结合部门年度工作方向，调整部门整体支出预算项目</w:t>
      </w:r>
      <w:proofErr w:type="gramStart"/>
      <w:r>
        <w:rPr>
          <w:rFonts w:ascii="仿宋_GB2312" w:eastAsia="仿宋_GB2312" w:cs="仿宋" w:hint="eastAsia"/>
          <w:kern w:val="0"/>
          <w:sz w:val="32"/>
          <w:szCs w:val="32"/>
        </w:rPr>
        <w:t>分类占</w:t>
      </w:r>
      <w:proofErr w:type="gramEnd"/>
      <w:r>
        <w:rPr>
          <w:rFonts w:ascii="仿宋_GB2312" w:eastAsia="仿宋_GB2312" w:cs="仿宋" w:hint="eastAsia"/>
          <w:kern w:val="0"/>
          <w:sz w:val="32"/>
          <w:szCs w:val="32"/>
        </w:rPr>
        <w:t>比，优化支出预算结构。在进行预算资金分配前，进一步推进预算编制与资金分配的科学化、精细化管理。</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w:t>
      </w:r>
      <w:r>
        <w:rPr>
          <w:rFonts w:ascii="仿宋_GB2312" w:eastAsia="仿宋_GB2312" w:cs="仿宋" w:hint="eastAsia"/>
          <w:kern w:val="0"/>
          <w:sz w:val="32"/>
          <w:szCs w:val="32"/>
        </w:rPr>
        <w:t>梳理近三年部门预算支出项目，及时甄别无效支出项目与低效支出项目，对固化在部门整体支出预算中的无效项目及低效项目进行分类处理。一方面，对于无支出计划</w:t>
      </w:r>
      <w:r>
        <w:rPr>
          <w:rFonts w:ascii="仿宋_GB2312" w:eastAsia="仿宋_GB2312" w:cs="仿宋" w:hint="eastAsia"/>
          <w:kern w:val="0"/>
          <w:sz w:val="32"/>
          <w:szCs w:val="32"/>
        </w:rPr>
        <w:t>或预算需求的项目（无效项目），制定整改方案。另一方面，对于预算支出率偏低的项目（低效项目），落实资金支出主体责任，避免出现资金闲置沉降，影响资金使用效益。</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3.</w:t>
      </w:r>
      <w:r>
        <w:rPr>
          <w:rFonts w:ascii="仿宋_GB2312" w:eastAsia="仿宋_GB2312" w:cs="仿宋" w:hint="eastAsia"/>
          <w:kern w:val="0"/>
          <w:sz w:val="32"/>
          <w:szCs w:val="32"/>
        </w:rPr>
        <w:t>加强预算编制前的资金需求调研和专家论证工作，</w:t>
      </w:r>
      <w:r>
        <w:rPr>
          <w:rFonts w:ascii="仿宋_GB2312" w:eastAsia="仿宋_GB2312" w:cs="仿宋"/>
          <w:kern w:val="0"/>
          <w:sz w:val="32"/>
          <w:szCs w:val="32"/>
        </w:rPr>
        <w:t>加强</w:t>
      </w:r>
      <w:r>
        <w:rPr>
          <w:rFonts w:ascii="仿宋_GB2312" w:eastAsia="仿宋_GB2312" w:cs="仿宋" w:hint="eastAsia"/>
          <w:kern w:val="0"/>
          <w:sz w:val="32"/>
          <w:szCs w:val="32"/>
        </w:rPr>
        <w:t>各职能</w:t>
      </w:r>
      <w:r>
        <w:rPr>
          <w:rFonts w:ascii="仿宋_GB2312" w:eastAsia="仿宋_GB2312" w:cs="仿宋"/>
          <w:kern w:val="0"/>
          <w:sz w:val="32"/>
          <w:szCs w:val="32"/>
        </w:rPr>
        <w:t>科</w:t>
      </w:r>
      <w:r>
        <w:rPr>
          <w:rFonts w:ascii="仿宋_GB2312" w:eastAsia="仿宋_GB2312" w:cs="仿宋" w:hint="eastAsia"/>
          <w:kern w:val="0"/>
          <w:sz w:val="32"/>
          <w:szCs w:val="32"/>
        </w:rPr>
        <w:t>室</w:t>
      </w:r>
      <w:r>
        <w:rPr>
          <w:rFonts w:ascii="仿宋_GB2312" w:eastAsia="仿宋_GB2312" w:cs="仿宋"/>
          <w:kern w:val="0"/>
          <w:sz w:val="32"/>
          <w:szCs w:val="32"/>
        </w:rPr>
        <w:t>间协调沟通</w:t>
      </w:r>
      <w:r>
        <w:rPr>
          <w:rFonts w:ascii="仿宋_GB2312" w:eastAsia="仿宋_GB2312" w:cs="仿宋" w:hint="eastAsia"/>
          <w:kern w:val="0"/>
          <w:sz w:val="32"/>
          <w:szCs w:val="32"/>
        </w:rPr>
        <w:t>，</w:t>
      </w:r>
      <w:r>
        <w:rPr>
          <w:rFonts w:ascii="仿宋_GB2312" w:eastAsia="仿宋_GB2312" w:cs="仿宋"/>
          <w:kern w:val="0"/>
          <w:sz w:val="32"/>
          <w:szCs w:val="32"/>
        </w:rPr>
        <w:t>着重就</w:t>
      </w:r>
      <w:r>
        <w:rPr>
          <w:rFonts w:ascii="仿宋_GB2312" w:eastAsia="仿宋_GB2312" w:cs="仿宋" w:hint="eastAsia"/>
          <w:kern w:val="0"/>
          <w:sz w:val="32"/>
          <w:szCs w:val="32"/>
        </w:rPr>
        <w:t>百姓关心、政府关注的重要、大额旅游和文化项目实施事前评估，</w:t>
      </w:r>
      <w:r>
        <w:rPr>
          <w:rFonts w:ascii="仿宋_GB2312" w:eastAsia="仿宋_GB2312" w:cs="仿宋"/>
          <w:kern w:val="0"/>
          <w:sz w:val="32"/>
          <w:szCs w:val="32"/>
        </w:rPr>
        <w:t>加强</w:t>
      </w:r>
      <w:r>
        <w:rPr>
          <w:rFonts w:ascii="仿宋_GB2312" w:eastAsia="仿宋_GB2312" w:cs="仿宋" w:hint="eastAsia"/>
          <w:kern w:val="0"/>
          <w:sz w:val="32"/>
          <w:szCs w:val="32"/>
        </w:rPr>
        <w:t>对项目实施必要性、可行性</w:t>
      </w:r>
      <w:r>
        <w:rPr>
          <w:rFonts w:ascii="仿宋_GB2312" w:eastAsia="仿宋_GB2312" w:cs="仿宋" w:hint="eastAsia"/>
          <w:kern w:val="0"/>
          <w:sz w:val="32"/>
          <w:szCs w:val="32"/>
        </w:rPr>
        <w:lastRenderedPageBreak/>
        <w:t>及经济性的科学论证，增强预算资金安排的科学性。同时</w:t>
      </w:r>
      <w:r>
        <w:rPr>
          <w:rFonts w:ascii="仿宋_GB2312" w:eastAsia="仿宋_GB2312" w:cs="仿宋"/>
          <w:kern w:val="0"/>
          <w:sz w:val="32"/>
          <w:szCs w:val="32"/>
        </w:rPr>
        <w:t>应</w:t>
      </w:r>
      <w:r>
        <w:rPr>
          <w:rFonts w:ascii="仿宋_GB2312" w:eastAsia="仿宋_GB2312" w:cs="仿宋" w:hint="eastAsia"/>
          <w:kern w:val="0"/>
          <w:sz w:val="32"/>
          <w:szCs w:val="32"/>
        </w:rPr>
        <w:t>按照预算指标额度，结合实际工作进度，编制项目支出预算明细。</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（四）加大资金使用和项目执行监管力度，提高项目实施效果</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1.</w:t>
      </w:r>
      <w:r>
        <w:rPr>
          <w:rFonts w:ascii="仿宋_GB2312" w:eastAsia="仿宋_GB2312" w:hint="eastAsia"/>
          <w:sz w:val="32"/>
          <w:szCs w:val="32"/>
        </w:rPr>
        <w:t xml:space="preserve"> </w:t>
      </w:r>
      <w:r>
        <w:rPr>
          <w:rFonts w:ascii="仿宋_GB2312" w:eastAsia="仿宋_GB2312" w:cs="仿宋" w:hint="eastAsia"/>
          <w:kern w:val="0"/>
          <w:sz w:val="32"/>
          <w:szCs w:val="32"/>
        </w:rPr>
        <w:t>市旅游和文化广电</w:t>
      </w:r>
      <w:r>
        <w:rPr>
          <w:rFonts w:ascii="仿宋_GB2312" w:eastAsia="仿宋_GB2312" w:cs="仿宋" w:hint="eastAsia"/>
          <w:kern w:val="0"/>
          <w:sz w:val="32"/>
          <w:szCs w:val="32"/>
        </w:rPr>
        <w:t>局各单位</w:t>
      </w:r>
      <w:r>
        <w:rPr>
          <w:rFonts w:ascii="仿宋_GB2312" w:eastAsia="仿宋_GB2312" w:cs="仿宋"/>
          <w:kern w:val="0"/>
          <w:sz w:val="32"/>
          <w:szCs w:val="32"/>
        </w:rPr>
        <w:t>作为内控工作的重要参与者与被监督对象，应切实加强</w:t>
      </w:r>
      <w:r>
        <w:rPr>
          <w:rFonts w:ascii="仿宋_GB2312" w:eastAsia="仿宋_GB2312" w:cs="仿宋" w:hint="eastAsia"/>
          <w:kern w:val="0"/>
          <w:sz w:val="32"/>
          <w:szCs w:val="32"/>
        </w:rPr>
        <w:t>内控制度执行</w:t>
      </w:r>
      <w:r>
        <w:rPr>
          <w:rFonts w:ascii="仿宋_GB2312" w:eastAsia="仿宋_GB2312" w:cs="仿宋"/>
          <w:kern w:val="0"/>
          <w:sz w:val="32"/>
          <w:szCs w:val="32"/>
        </w:rPr>
        <w:t>管理</w:t>
      </w:r>
      <w:r>
        <w:rPr>
          <w:rFonts w:ascii="仿宋_GB2312" w:eastAsia="仿宋_GB2312" w:cs="仿宋" w:hint="eastAsia"/>
          <w:kern w:val="0"/>
          <w:sz w:val="32"/>
          <w:szCs w:val="32"/>
        </w:rPr>
        <w:t>，进一步提高</w:t>
      </w:r>
      <w:r>
        <w:rPr>
          <w:rFonts w:ascii="仿宋_GB2312" w:eastAsia="仿宋_GB2312" w:cs="仿宋"/>
          <w:kern w:val="0"/>
          <w:sz w:val="32"/>
          <w:szCs w:val="32"/>
        </w:rPr>
        <w:t>责任</w:t>
      </w:r>
      <w:r>
        <w:rPr>
          <w:rFonts w:ascii="仿宋_GB2312" w:eastAsia="仿宋_GB2312" w:cs="仿宋" w:hint="eastAsia"/>
          <w:kern w:val="0"/>
          <w:sz w:val="32"/>
          <w:szCs w:val="32"/>
        </w:rPr>
        <w:t>意识，</w:t>
      </w:r>
      <w:r>
        <w:rPr>
          <w:rFonts w:ascii="仿宋_GB2312" w:eastAsia="仿宋_GB2312" w:cs="仿宋"/>
          <w:kern w:val="0"/>
          <w:sz w:val="32"/>
          <w:szCs w:val="32"/>
        </w:rPr>
        <w:t>确保</w:t>
      </w:r>
      <w:r>
        <w:rPr>
          <w:rFonts w:ascii="仿宋_GB2312" w:eastAsia="仿宋_GB2312" w:cs="仿宋" w:hint="eastAsia"/>
          <w:kern w:val="0"/>
          <w:sz w:val="32"/>
          <w:szCs w:val="32"/>
        </w:rPr>
        <w:t>内控作用的全面发挥。</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w:t>
      </w:r>
      <w:r>
        <w:rPr>
          <w:rFonts w:ascii="仿宋_GB2312" w:eastAsia="仿宋_GB2312" w:cs="仿宋"/>
          <w:kern w:val="0"/>
          <w:sz w:val="32"/>
          <w:szCs w:val="32"/>
        </w:rPr>
        <w:t>进一步</w:t>
      </w:r>
      <w:r>
        <w:rPr>
          <w:rFonts w:ascii="仿宋_GB2312" w:eastAsia="仿宋_GB2312" w:cs="仿宋" w:hint="eastAsia"/>
          <w:kern w:val="0"/>
          <w:sz w:val="32"/>
          <w:szCs w:val="32"/>
        </w:rPr>
        <w:t>提高预算执行率，减少结转结余资金。</w:t>
      </w:r>
      <w:r>
        <w:rPr>
          <w:rFonts w:ascii="仿宋_GB2312" w:eastAsia="仿宋_GB2312" w:cs="仿宋"/>
          <w:kern w:val="0"/>
          <w:sz w:val="32"/>
          <w:szCs w:val="32"/>
        </w:rPr>
        <w:t>建立涵盖</w:t>
      </w:r>
      <w:r>
        <w:rPr>
          <w:rFonts w:ascii="仿宋_GB2312" w:eastAsia="仿宋_GB2312" w:cs="仿宋" w:hint="eastAsia"/>
          <w:kern w:val="0"/>
          <w:sz w:val="32"/>
          <w:szCs w:val="32"/>
        </w:rPr>
        <w:t>所有项目</w:t>
      </w:r>
      <w:r>
        <w:rPr>
          <w:rFonts w:ascii="仿宋_GB2312" w:eastAsia="仿宋_GB2312" w:cs="仿宋"/>
          <w:kern w:val="0"/>
          <w:sz w:val="32"/>
          <w:szCs w:val="32"/>
        </w:rPr>
        <w:t>的</w:t>
      </w:r>
      <w:r>
        <w:rPr>
          <w:rFonts w:ascii="仿宋_GB2312" w:eastAsia="仿宋_GB2312" w:cs="仿宋" w:hint="eastAsia"/>
          <w:kern w:val="0"/>
          <w:sz w:val="32"/>
          <w:szCs w:val="32"/>
        </w:rPr>
        <w:t>实施情况月</w:t>
      </w:r>
      <w:r>
        <w:rPr>
          <w:rFonts w:ascii="仿宋_GB2312" w:eastAsia="仿宋_GB2312" w:cs="仿宋"/>
          <w:kern w:val="0"/>
          <w:sz w:val="32"/>
          <w:szCs w:val="32"/>
        </w:rPr>
        <w:t>报</w:t>
      </w:r>
      <w:r>
        <w:rPr>
          <w:rFonts w:ascii="仿宋_GB2312" w:eastAsia="仿宋_GB2312" w:cs="仿宋" w:hint="eastAsia"/>
          <w:kern w:val="0"/>
          <w:sz w:val="32"/>
          <w:szCs w:val="32"/>
        </w:rPr>
        <w:t>或季报机制，提高对预算项目的把控能力，</w:t>
      </w:r>
      <w:r>
        <w:rPr>
          <w:rFonts w:ascii="仿宋_GB2312" w:eastAsia="仿宋_GB2312" w:cs="仿宋"/>
          <w:kern w:val="0"/>
          <w:sz w:val="32"/>
          <w:szCs w:val="32"/>
        </w:rPr>
        <w:t>加快</w:t>
      </w:r>
      <w:r>
        <w:rPr>
          <w:rFonts w:ascii="仿宋_GB2312" w:eastAsia="仿宋_GB2312" w:cs="仿宋" w:hint="eastAsia"/>
          <w:kern w:val="0"/>
          <w:sz w:val="32"/>
          <w:szCs w:val="32"/>
        </w:rPr>
        <w:t>资金支出进度及绩效目标的落实，避免因结转结余影响财政资金使用效益。</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3.</w:t>
      </w:r>
      <w:r>
        <w:rPr>
          <w:rFonts w:ascii="仿宋_GB2312" w:eastAsia="仿宋_GB2312" w:cs="仿宋" w:hint="eastAsia"/>
          <w:kern w:val="0"/>
          <w:sz w:val="32"/>
          <w:szCs w:val="32"/>
        </w:rPr>
        <w:t>加强项目执行过程中的合同、采购、验收、付款</w:t>
      </w:r>
      <w:r>
        <w:rPr>
          <w:rFonts w:ascii="仿宋_GB2312" w:eastAsia="仿宋_GB2312" w:cs="仿宋"/>
          <w:kern w:val="0"/>
          <w:sz w:val="32"/>
          <w:szCs w:val="32"/>
        </w:rPr>
        <w:t>等</w:t>
      </w:r>
      <w:r>
        <w:rPr>
          <w:rFonts w:ascii="仿宋_GB2312" w:eastAsia="仿宋_GB2312" w:cs="仿宋" w:hint="eastAsia"/>
          <w:kern w:val="0"/>
          <w:sz w:val="32"/>
          <w:szCs w:val="32"/>
        </w:rPr>
        <w:t>管理工作，保证业务执行过程中签订合同合法合</w:t>
      </w:r>
      <w:proofErr w:type="gramStart"/>
      <w:r>
        <w:rPr>
          <w:rFonts w:ascii="仿宋_GB2312" w:eastAsia="仿宋_GB2312" w:cs="仿宋" w:hint="eastAsia"/>
          <w:kern w:val="0"/>
          <w:sz w:val="32"/>
          <w:szCs w:val="32"/>
        </w:rPr>
        <w:t>规</w:t>
      </w:r>
      <w:proofErr w:type="gramEnd"/>
      <w:r>
        <w:rPr>
          <w:rFonts w:ascii="仿宋_GB2312" w:eastAsia="仿宋_GB2312" w:cs="仿宋" w:hint="eastAsia"/>
          <w:kern w:val="0"/>
          <w:sz w:val="32"/>
          <w:szCs w:val="32"/>
        </w:rPr>
        <w:t>、验收程序完整规范、资金支付及时合理，确保会计资料全面、真实完整。</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4.</w:t>
      </w:r>
      <w:r>
        <w:rPr>
          <w:rFonts w:ascii="仿宋_GB2312" w:eastAsia="仿宋_GB2312" w:hint="eastAsia"/>
          <w:sz w:val="32"/>
          <w:szCs w:val="32"/>
        </w:rPr>
        <w:t xml:space="preserve"> </w:t>
      </w:r>
      <w:r>
        <w:rPr>
          <w:rFonts w:ascii="仿宋_GB2312" w:eastAsia="仿宋_GB2312" w:cs="仿宋" w:hint="eastAsia"/>
          <w:kern w:val="0"/>
          <w:sz w:val="32"/>
          <w:szCs w:val="32"/>
        </w:rPr>
        <w:t>市旅游和文化广电局</w:t>
      </w:r>
      <w:r>
        <w:rPr>
          <w:rFonts w:ascii="仿宋_GB2312" w:eastAsia="仿宋_GB2312" w:cs="仿宋"/>
          <w:kern w:val="0"/>
          <w:sz w:val="32"/>
          <w:szCs w:val="32"/>
        </w:rPr>
        <w:t>应</w:t>
      </w:r>
      <w:r>
        <w:rPr>
          <w:rFonts w:ascii="仿宋_GB2312" w:eastAsia="仿宋_GB2312" w:cs="仿宋" w:hint="eastAsia"/>
          <w:kern w:val="0"/>
          <w:sz w:val="32"/>
          <w:szCs w:val="32"/>
        </w:rPr>
        <w:t>进一步提高旅游国际化、全域化水平，优化产品结构，增加新业</w:t>
      </w:r>
      <w:proofErr w:type="gramStart"/>
      <w:r>
        <w:rPr>
          <w:rFonts w:ascii="仿宋_GB2312" w:eastAsia="仿宋_GB2312" w:cs="仿宋" w:hint="eastAsia"/>
          <w:kern w:val="0"/>
          <w:sz w:val="32"/>
          <w:szCs w:val="32"/>
        </w:rPr>
        <w:t>态项目</w:t>
      </w:r>
      <w:proofErr w:type="gramEnd"/>
      <w:r>
        <w:rPr>
          <w:rFonts w:ascii="仿宋_GB2312" w:eastAsia="仿宋_GB2312" w:cs="仿宋" w:hint="eastAsia"/>
          <w:kern w:val="0"/>
          <w:sz w:val="32"/>
          <w:szCs w:val="32"/>
        </w:rPr>
        <w:t>数量，提高行业管理水平和服务品质，进一步</w:t>
      </w:r>
      <w:proofErr w:type="gramStart"/>
      <w:r>
        <w:rPr>
          <w:rFonts w:ascii="仿宋_GB2312" w:eastAsia="仿宋_GB2312" w:cs="仿宋" w:hint="eastAsia"/>
          <w:kern w:val="0"/>
          <w:sz w:val="32"/>
          <w:szCs w:val="32"/>
        </w:rPr>
        <w:t>加强文旅融合</w:t>
      </w:r>
      <w:proofErr w:type="gramEnd"/>
      <w:r>
        <w:rPr>
          <w:rFonts w:ascii="仿宋_GB2312" w:eastAsia="仿宋_GB2312" w:cs="仿宋" w:hint="eastAsia"/>
          <w:kern w:val="0"/>
          <w:sz w:val="32"/>
          <w:szCs w:val="32"/>
        </w:rPr>
        <w:t>。同时进一步增强项目统筹谋划能力，加大各项活动宣传力度，保证各项旅游文化活动圆满开展，</w:t>
      </w:r>
      <w:r>
        <w:rPr>
          <w:rFonts w:ascii="仿宋_GB2312" w:eastAsia="仿宋_GB2312" w:cs="仿宋"/>
          <w:kern w:val="0"/>
          <w:sz w:val="32"/>
          <w:szCs w:val="32"/>
        </w:rPr>
        <w:t>提升</w:t>
      </w:r>
      <w:r>
        <w:rPr>
          <w:rFonts w:ascii="仿宋_GB2312" w:eastAsia="仿宋_GB2312" w:cs="仿宋" w:hint="eastAsia"/>
          <w:kern w:val="0"/>
          <w:sz w:val="32"/>
          <w:szCs w:val="32"/>
        </w:rPr>
        <w:t>基层群众满意度。</w:t>
      </w:r>
    </w:p>
    <w:p w:rsidR="009E7DEE" w:rsidRDefault="003B3BC9" w:rsidP="00214BF2">
      <w:pPr>
        <w:adjustRightInd w:val="0"/>
        <w:snapToGrid w:val="0"/>
        <w:spacing w:line="580" w:lineRule="exact"/>
        <w:ind w:firstLineChars="200" w:firstLine="643"/>
        <w:rPr>
          <w:rFonts w:ascii="仿宋_GB2312" w:eastAsia="仿宋_GB2312" w:cs="仿宋"/>
          <w:b/>
          <w:kern w:val="0"/>
          <w:sz w:val="32"/>
          <w:szCs w:val="32"/>
        </w:rPr>
      </w:pPr>
      <w:r>
        <w:rPr>
          <w:rFonts w:ascii="仿宋_GB2312" w:eastAsia="仿宋_GB2312" w:cs="仿宋" w:hint="eastAsia"/>
          <w:b/>
          <w:kern w:val="0"/>
          <w:sz w:val="32"/>
          <w:szCs w:val="32"/>
        </w:rPr>
        <w:t>（五）落实</w:t>
      </w:r>
      <w:proofErr w:type="gramStart"/>
      <w:r>
        <w:rPr>
          <w:rFonts w:ascii="仿宋_GB2312" w:eastAsia="仿宋_GB2312" w:cs="仿宋" w:hint="eastAsia"/>
          <w:b/>
          <w:kern w:val="0"/>
          <w:sz w:val="32"/>
          <w:szCs w:val="32"/>
        </w:rPr>
        <w:t>各级资金</w:t>
      </w:r>
      <w:proofErr w:type="gramEnd"/>
      <w:r>
        <w:rPr>
          <w:rFonts w:ascii="仿宋_GB2312" w:eastAsia="仿宋_GB2312" w:cs="仿宋" w:hint="eastAsia"/>
          <w:b/>
          <w:kern w:val="0"/>
          <w:sz w:val="32"/>
          <w:szCs w:val="32"/>
        </w:rPr>
        <w:t>使用单位的监督管理责任</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转变“重分配轻监管”的传统工作管理观念，建立动态分析管理机制，增强主管部门的监管主动性，提高风险防控意识。具体建议包括：</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1.</w:t>
      </w:r>
      <w:r>
        <w:rPr>
          <w:rFonts w:ascii="仿宋_GB2312" w:eastAsia="仿宋_GB2312" w:cs="仿宋" w:hint="eastAsia"/>
          <w:kern w:val="0"/>
          <w:sz w:val="32"/>
          <w:szCs w:val="32"/>
        </w:rPr>
        <w:t>提高风险防控意识。在项目实施前，对项目进行可行性研</w:t>
      </w:r>
      <w:r>
        <w:rPr>
          <w:rFonts w:ascii="仿宋_GB2312" w:eastAsia="仿宋_GB2312" w:cs="仿宋" w:hint="eastAsia"/>
          <w:kern w:val="0"/>
          <w:sz w:val="32"/>
          <w:szCs w:val="32"/>
        </w:rPr>
        <w:lastRenderedPageBreak/>
        <w:t>究论证，并明确项目实施过程中的各关键节点，明确各关键节点的任务完成目标及</w:t>
      </w:r>
      <w:r>
        <w:rPr>
          <w:rFonts w:ascii="仿宋_GB2312" w:eastAsia="仿宋_GB2312" w:cs="仿宋" w:hint="eastAsia"/>
          <w:kern w:val="0"/>
          <w:sz w:val="32"/>
          <w:szCs w:val="32"/>
        </w:rPr>
        <w:t>完成时间，建立风险防范及预警机制。对于项目周期长、风险大的项目，应建立合理的退出机制，及时规避风险。在实施过程中，要求具体实施单位及时向主管部门反馈项目进展。</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2.</w:t>
      </w:r>
      <w:r>
        <w:rPr>
          <w:rFonts w:ascii="仿宋_GB2312" w:eastAsia="仿宋_GB2312" w:cs="仿宋" w:hint="eastAsia"/>
          <w:kern w:val="0"/>
          <w:sz w:val="32"/>
          <w:szCs w:val="32"/>
        </w:rPr>
        <w:t>进一步加强预算绩效管理，建立“预算编制有目标、预算执行有监控、预算完成有评价、评价结果有反馈、反馈结果有应用”的预算绩效管理机制。</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w:t>
      </w:r>
      <w:r>
        <w:rPr>
          <w:rFonts w:ascii="仿宋_GB2312" w:eastAsia="仿宋_GB2312" w:cs="仿宋" w:hint="eastAsia"/>
          <w:kern w:val="0"/>
          <w:sz w:val="32"/>
          <w:szCs w:val="32"/>
        </w:rPr>
        <w:t>1</w:t>
      </w:r>
      <w:r>
        <w:rPr>
          <w:rFonts w:ascii="仿宋_GB2312" w:eastAsia="仿宋_GB2312" w:cs="仿宋" w:hint="eastAsia"/>
          <w:kern w:val="0"/>
          <w:sz w:val="32"/>
          <w:szCs w:val="32"/>
        </w:rPr>
        <w:t>）要建立重点项目实施过程的</w:t>
      </w:r>
      <w:r>
        <w:rPr>
          <w:rFonts w:ascii="仿宋_GB2312" w:eastAsia="仿宋_GB2312" w:cs="仿宋"/>
          <w:kern w:val="0"/>
          <w:sz w:val="32"/>
          <w:szCs w:val="32"/>
        </w:rPr>
        <w:t>监督</w:t>
      </w:r>
      <w:r>
        <w:rPr>
          <w:rFonts w:ascii="仿宋_GB2312" w:eastAsia="仿宋_GB2312" w:cs="仿宋" w:hint="eastAsia"/>
          <w:kern w:val="0"/>
          <w:sz w:val="32"/>
          <w:szCs w:val="32"/>
        </w:rPr>
        <w:t>反馈机制，加大对重点部门、重点项目的监控力度，并建立对重点项目实施情况定期上报机制，提高对项目的整体把控能力。</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w:t>
      </w:r>
      <w:r>
        <w:rPr>
          <w:rFonts w:ascii="仿宋_GB2312" w:eastAsia="仿宋_GB2312" w:cs="仿宋" w:hint="eastAsia"/>
          <w:kern w:val="0"/>
          <w:sz w:val="32"/>
          <w:szCs w:val="32"/>
        </w:rPr>
        <w:t>2</w:t>
      </w:r>
      <w:r>
        <w:rPr>
          <w:rFonts w:ascii="仿宋_GB2312" w:eastAsia="仿宋_GB2312" w:cs="仿宋" w:hint="eastAsia"/>
          <w:kern w:val="0"/>
          <w:sz w:val="32"/>
          <w:szCs w:val="32"/>
        </w:rPr>
        <w:t>）将绩效评价结果作为以后年度编制部门预算和安排资金的重要依据，建立</w:t>
      </w:r>
      <w:r>
        <w:rPr>
          <w:rFonts w:ascii="仿宋_GB2312" w:eastAsia="仿宋_GB2312" w:cs="仿宋" w:hint="eastAsia"/>
          <w:kern w:val="0"/>
          <w:sz w:val="32"/>
          <w:szCs w:val="32"/>
        </w:rPr>
        <w:t>健全预算安排与绩效目标、资金使用效果挂钩的奖励与约束机制，形成预算编制有目标、目标执行有跟踪、执行结束有评价、评价结果有应用的全过程管理机制。同时建立整改机制、信息公开机制和问责机制。</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w:t>
      </w:r>
      <w:r>
        <w:rPr>
          <w:rFonts w:ascii="仿宋_GB2312" w:eastAsia="仿宋_GB2312" w:cs="仿宋" w:hint="eastAsia"/>
          <w:kern w:val="0"/>
          <w:sz w:val="32"/>
          <w:szCs w:val="32"/>
        </w:rPr>
        <w:t>3</w:t>
      </w:r>
      <w:r>
        <w:rPr>
          <w:rFonts w:ascii="仿宋_GB2312" w:eastAsia="仿宋_GB2312" w:cs="仿宋" w:hint="eastAsia"/>
          <w:kern w:val="0"/>
          <w:sz w:val="32"/>
          <w:szCs w:val="32"/>
        </w:rPr>
        <w:t>）市旅游和文化广电局以</w:t>
      </w:r>
      <w:proofErr w:type="gramStart"/>
      <w:r>
        <w:rPr>
          <w:rFonts w:ascii="仿宋_GB2312" w:eastAsia="仿宋_GB2312" w:cs="仿宋" w:hint="eastAsia"/>
          <w:kern w:val="0"/>
          <w:sz w:val="32"/>
          <w:szCs w:val="32"/>
        </w:rPr>
        <w:t>此次部门</w:t>
      </w:r>
      <w:proofErr w:type="gramEnd"/>
      <w:r>
        <w:rPr>
          <w:rFonts w:ascii="仿宋_GB2312" w:eastAsia="仿宋_GB2312" w:cs="仿宋" w:hint="eastAsia"/>
          <w:kern w:val="0"/>
          <w:sz w:val="32"/>
          <w:szCs w:val="32"/>
        </w:rPr>
        <w:t>整体支出绩效评价为契机，建立目标管理、动态监测、年度考核三位一体的工作机制。</w:t>
      </w:r>
    </w:p>
    <w:p w:rsidR="009E7DEE" w:rsidRDefault="003B3BC9">
      <w:pPr>
        <w:adjustRightInd w:val="0"/>
        <w:snapToGrid w:val="0"/>
        <w:spacing w:line="580" w:lineRule="exact"/>
        <w:ind w:firstLineChars="200" w:firstLine="640"/>
        <w:rPr>
          <w:rFonts w:ascii="仿宋_GB2312" w:eastAsia="仿宋_GB2312" w:cs="仿宋"/>
          <w:kern w:val="0"/>
          <w:sz w:val="32"/>
          <w:szCs w:val="32"/>
        </w:rPr>
      </w:pPr>
      <w:r>
        <w:rPr>
          <w:rFonts w:ascii="仿宋_GB2312" w:eastAsia="仿宋_GB2312" w:cs="仿宋" w:hint="eastAsia"/>
          <w:kern w:val="0"/>
          <w:sz w:val="32"/>
          <w:szCs w:val="32"/>
        </w:rPr>
        <w:t>（</w:t>
      </w:r>
      <w:r>
        <w:rPr>
          <w:rFonts w:ascii="仿宋_GB2312" w:eastAsia="仿宋_GB2312" w:cs="仿宋" w:hint="eastAsia"/>
          <w:kern w:val="0"/>
          <w:sz w:val="32"/>
          <w:szCs w:val="32"/>
        </w:rPr>
        <w:t>4</w:t>
      </w:r>
      <w:r>
        <w:rPr>
          <w:rFonts w:ascii="仿宋_GB2312" w:eastAsia="仿宋_GB2312" w:cs="仿宋" w:hint="eastAsia"/>
          <w:kern w:val="0"/>
          <w:sz w:val="32"/>
          <w:szCs w:val="32"/>
        </w:rPr>
        <w:t>）主管部门可以</w:t>
      </w:r>
      <w:proofErr w:type="gramStart"/>
      <w:r>
        <w:rPr>
          <w:rFonts w:ascii="仿宋_GB2312" w:eastAsia="仿宋_GB2312" w:cs="仿宋" w:hint="eastAsia"/>
          <w:kern w:val="0"/>
          <w:sz w:val="32"/>
          <w:szCs w:val="32"/>
        </w:rPr>
        <w:t>此次部门</w:t>
      </w:r>
      <w:proofErr w:type="gramEnd"/>
      <w:r>
        <w:rPr>
          <w:rFonts w:ascii="仿宋_GB2312" w:eastAsia="仿宋_GB2312" w:cs="仿宋" w:hint="eastAsia"/>
          <w:kern w:val="0"/>
          <w:sz w:val="32"/>
          <w:szCs w:val="32"/>
        </w:rPr>
        <w:t>整体支出绩效评价为契机，将部门整体绩效评价工作深入到局本级及局直二级预算单位，对每个部门（处室）以及项目分别制定相应的绩效指标，并适时开展局直二级预算单位整体支出绩效评价，建立目标管理、动</w:t>
      </w:r>
      <w:r>
        <w:rPr>
          <w:rFonts w:ascii="仿宋_GB2312" w:eastAsia="仿宋_GB2312" w:cs="仿宋" w:hint="eastAsia"/>
          <w:kern w:val="0"/>
          <w:sz w:val="32"/>
          <w:szCs w:val="32"/>
        </w:rPr>
        <w:t>态监测、年度考核三位一体的工作机制。</w:t>
      </w:r>
    </w:p>
    <w:p w:rsidR="009E7DEE" w:rsidRDefault="003B3BC9" w:rsidP="009E7DEE">
      <w:pPr>
        <w:adjustRightInd w:val="0"/>
        <w:snapToGrid w:val="0"/>
        <w:spacing w:line="580" w:lineRule="exact"/>
        <w:ind w:firstLineChars="200" w:firstLine="643"/>
        <w:rPr>
          <w:rFonts w:ascii="仿宋_GB2312" w:eastAsia="仿宋_GB2312" w:cs="仿宋"/>
          <w:b/>
          <w:kern w:val="0"/>
          <w:sz w:val="28"/>
          <w:szCs w:val="28"/>
        </w:rPr>
      </w:pPr>
      <w:r>
        <w:rPr>
          <w:rFonts w:ascii="仿宋_GB2312" w:eastAsia="仿宋_GB2312" w:cs="仿宋" w:hint="eastAsia"/>
          <w:b/>
          <w:kern w:val="0"/>
          <w:sz w:val="32"/>
          <w:szCs w:val="32"/>
        </w:rPr>
        <w:t>（六）</w:t>
      </w:r>
      <w:r>
        <w:rPr>
          <w:rFonts w:ascii="仿宋_GB2312" w:eastAsia="仿宋_GB2312" w:cs="仿宋"/>
          <w:b/>
          <w:kern w:val="0"/>
          <w:sz w:val="32"/>
          <w:szCs w:val="32"/>
        </w:rPr>
        <w:t>规范合理安排部门预算支出，</w:t>
      </w:r>
      <w:r>
        <w:rPr>
          <w:rFonts w:ascii="仿宋_GB2312" w:eastAsia="仿宋_GB2312" w:cs="仿宋" w:hint="eastAsia"/>
          <w:b/>
          <w:kern w:val="0"/>
          <w:sz w:val="32"/>
          <w:szCs w:val="32"/>
        </w:rPr>
        <w:t>减少欠款资金支付额度，</w:t>
      </w:r>
      <w:r>
        <w:rPr>
          <w:rFonts w:ascii="仿宋_GB2312" w:eastAsia="仿宋_GB2312" w:cs="仿宋" w:hint="eastAsia"/>
          <w:b/>
          <w:kern w:val="0"/>
          <w:sz w:val="32"/>
          <w:szCs w:val="32"/>
        </w:rPr>
        <w:lastRenderedPageBreak/>
        <w:t>保证当年资金使用效果。</w:t>
      </w:r>
    </w:p>
    <w:sectPr w:rsidR="009E7DEE">
      <w:footerReference w:type="default" r:id="rId8"/>
      <w:pgSz w:w="11907" w:h="16840"/>
      <w:pgMar w:top="1418" w:right="1418" w:bottom="1418"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C9" w:rsidRDefault="003B3BC9">
      <w:r>
        <w:separator/>
      </w:r>
    </w:p>
  </w:endnote>
  <w:endnote w:type="continuationSeparator" w:id="0">
    <w:p w:rsidR="003B3BC9" w:rsidRDefault="003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utura Bk">
    <w:altName w:val="Segoe Print"/>
    <w:charset w:val="00"/>
    <w:family w:val="swiss"/>
    <w:pitch w:val="default"/>
    <w:sig w:usb0="00000000"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ˎ̥">
    <w:altName w:val="华文仿宋"/>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EE" w:rsidRDefault="003B3BC9">
    <w:pPr>
      <w:pStyle w:val="ae"/>
      <w:tabs>
        <w:tab w:val="clear" w:pos="4153"/>
        <w:tab w:val="center" w:pos="4649"/>
      </w:tabs>
      <w:jc w:val="right"/>
    </w:pPr>
    <w:r>
      <w:rPr>
        <w:noProof/>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635</wp:posOffset>
              </wp:positionV>
              <wp:extent cx="114300" cy="131445"/>
              <wp:effectExtent l="0" t="0" r="0" b="0"/>
              <wp:wrapNone/>
              <wp:docPr id="1" name="Text Box 1026"/>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rsidR="009E7DEE" w:rsidRDefault="003B3BC9">
                          <w:pPr>
                            <w:pStyle w:val="ae"/>
                          </w:pPr>
                          <w:r>
                            <w:fldChar w:fldCharType="begin"/>
                          </w:r>
                          <w:r>
                            <w:instrText xml:space="preserve"> PAGE  \* MERGEFORMAT </w:instrText>
                          </w:r>
                          <w:r>
                            <w:fldChar w:fldCharType="separate"/>
                          </w:r>
                          <w:r w:rsidR="00214BF2">
                            <w:rPr>
                              <w:noProof/>
                            </w:rPr>
                            <w:t>7</w:t>
                          </w:r>
                          <w:r>
                            <w:fldChar w:fldCharType="end"/>
                          </w:r>
                        </w:p>
                      </w:txbxContent>
                    </wps:txbx>
                    <wps:bodyPr vert="horz" wrap="none" lIns="0" tIns="0" rIns="0" bIns="0" anchor="t" anchorCtr="0" upright="1">
                      <a:spAutoFit/>
                    </wps:bodyPr>
                  </wps:wsp>
                </a:graphicData>
              </a:graphic>
            </wp:anchor>
          </w:drawing>
        </mc:Choice>
        <mc:Fallback>
          <w:pict>
            <v:rect id="Text Box 1026" o:spid="_x0000_s1026" style="position:absolute;left:0;text-align:left;margin-left:0;margin-top:.05pt;width:9pt;height:10.35pt;z-index:251659264;visibility:visible;mso-wrap-style:none;mso-wrap-distance-left:8.95pt;mso-wrap-distance-top:0;mso-wrap-distance-right:8.9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" filled="f" stroked="f">
              <v:stroke joinstyle="round"/>
              <v:textbox style="mso-fit-shape-to-text:t" inset="0,0,0,0">
                <w:txbxContent>
                  <w:p w:rsidR="009E7DEE" w:rsidRDefault="003B3BC9">
                    <w:pPr>
                      <w:pStyle w:val="ae"/>
                    </w:pPr>
                    <w:r>
                      <w:fldChar w:fldCharType="begin"/>
                    </w:r>
                    <w:r>
                      <w:instrText xml:space="preserve"> PAGE  \* MERGEFORMAT </w:instrText>
                    </w:r>
                    <w:r>
                      <w:fldChar w:fldCharType="separate"/>
                    </w:r>
                    <w:r w:rsidR="00214BF2">
                      <w:rPr>
                        <w:noProof/>
                      </w:rPr>
                      <w:t>7</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C9" w:rsidRDefault="003B3BC9">
      <w:r>
        <w:separator/>
      </w:r>
    </w:p>
  </w:footnote>
  <w:footnote w:type="continuationSeparator" w:id="0">
    <w:p w:rsidR="003B3BC9" w:rsidRDefault="003B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
  <w:docVars>
    <w:docVar w:name="commondata" w:val="eyJoZGlkIjoiZGFmMmI1NjlmYmY0YWIzMzM2MDE3ODY4YjNjZmI2MTUifQ=="/>
  </w:docVars>
  <w:rsids>
    <w:rsidRoot w:val="009E7DEE"/>
    <w:rsid w:val="00214BF2"/>
    <w:rsid w:val="003B3BC9"/>
    <w:rsid w:val="009E7DEE"/>
    <w:rsid w:val="0D7950F3"/>
    <w:rsid w:val="3DEFF858"/>
    <w:rsid w:val="6FB7BF8E"/>
    <w:rsid w:val="73FA71E1"/>
    <w:rsid w:val="7DAB8538"/>
    <w:rsid w:val="7FBDF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List 2" w:qFormat="1"/>
    <w:lsdException w:name="List 3" w:qFormat="1"/>
    <w:lsdException w:name="List 4" w:qFormat="1"/>
    <w:lsdException w:name="Title" w:qFormat="1"/>
    <w:lsdException w:name="Closing" w:qFormat="1"/>
    <w:lsdException w:name="Default Paragraph Font" w:qFormat="1"/>
    <w:lsdException w:name="Body Text" w:qFormat="1"/>
    <w:lsdException w:name="Body Text Indent" w:qFormat="1"/>
    <w:lsdException w:name="List Continue"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Preformatted" w:qFormat="1"/>
    <w:lsdException w:name="HTML Variable"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kern w:val="44"/>
      <w:sz w:val="44"/>
      <w:szCs w:val="20"/>
    </w:rPr>
  </w:style>
  <w:style w:type="paragraph" w:styleId="20">
    <w:name w:val="heading 2"/>
    <w:basedOn w:val="a"/>
    <w:next w:val="a"/>
    <w:qFormat/>
    <w:pPr>
      <w:keepNext/>
      <w:keepLines/>
      <w:spacing w:before="260" w:after="260" w:line="415" w:lineRule="auto"/>
      <w:outlineLvl w:val="1"/>
    </w:pPr>
    <w:rPr>
      <w:rFonts w:ascii="Arial" w:eastAsia="黑体" w:hAnsi="Arial"/>
      <w:b/>
      <w:kern w:val="0"/>
      <w:sz w:val="32"/>
      <w:szCs w:val="20"/>
      <w:lang w:val="zh-CN"/>
    </w:rPr>
  </w:style>
  <w:style w:type="paragraph" w:styleId="3">
    <w:name w:val="heading 3"/>
    <w:basedOn w:val="a"/>
    <w:next w:val="a"/>
    <w:qFormat/>
    <w:pPr>
      <w:keepNext/>
      <w:keepLines/>
      <w:spacing w:before="260" w:after="260" w:line="415" w:lineRule="auto"/>
      <w:outlineLvl w:val="2"/>
    </w:pPr>
    <w:rPr>
      <w:rFonts w:ascii="Times New Roman" w:hAnsi="Times New Roman"/>
      <w:b/>
      <w:kern w:val="0"/>
      <w:sz w:val="32"/>
      <w:szCs w:val="20"/>
    </w:rPr>
  </w:style>
  <w:style w:type="paragraph" w:styleId="4">
    <w:name w:val="heading 4"/>
    <w:basedOn w:val="a"/>
    <w:next w:val="a"/>
    <w:qFormat/>
    <w:pPr>
      <w:keepNext/>
      <w:keepLines/>
      <w:spacing w:before="280" w:after="290" w:line="377" w:lineRule="auto"/>
      <w:outlineLvl w:val="3"/>
    </w:pPr>
    <w:rPr>
      <w:rFonts w:ascii="Arial" w:eastAsia="黑体" w:hAnsi="Arial"/>
      <w:b/>
      <w:kern w:val="0"/>
      <w:sz w:val="28"/>
      <w:szCs w:val="20"/>
    </w:rPr>
  </w:style>
  <w:style w:type="paragraph" w:styleId="5">
    <w:name w:val="heading 5"/>
    <w:basedOn w:val="a"/>
    <w:next w:val="a"/>
    <w:qFormat/>
    <w:pPr>
      <w:keepNext/>
      <w:keepLines/>
      <w:tabs>
        <w:tab w:val="left" w:pos="1008"/>
      </w:tabs>
      <w:spacing w:before="280" w:after="290" w:line="377" w:lineRule="auto"/>
      <w:ind w:left="1008" w:hanging="1008"/>
      <w:outlineLvl w:val="4"/>
    </w:pPr>
    <w:rPr>
      <w:rFonts w:ascii="宋体"/>
      <w:b/>
      <w:bCs/>
      <w:kern w:val="0"/>
      <w:sz w:val="28"/>
      <w:szCs w:val="28"/>
    </w:rPr>
  </w:style>
  <w:style w:type="paragraph" w:styleId="6">
    <w:name w:val="heading 6"/>
    <w:basedOn w:val="a"/>
    <w:next w:val="a"/>
    <w:qFormat/>
    <w:pPr>
      <w:keepNext/>
      <w:keepLines/>
      <w:tabs>
        <w:tab w:val="left" w:pos="1152"/>
      </w:tabs>
      <w:spacing w:before="240" w:after="64" w:line="319" w:lineRule="auto"/>
      <w:ind w:left="1152" w:hanging="1152"/>
      <w:outlineLvl w:val="5"/>
    </w:pPr>
    <w:rPr>
      <w:rFonts w:ascii="Cambria" w:hAnsi="Cambria"/>
      <w:b/>
      <w:bCs/>
      <w:kern w:val="0"/>
      <w:sz w:val="24"/>
      <w:szCs w:val="24"/>
    </w:rPr>
  </w:style>
  <w:style w:type="paragraph" w:styleId="7">
    <w:name w:val="heading 7"/>
    <w:basedOn w:val="a"/>
    <w:next w:val="a"/>
    <w:qFormat/>
    <w:pPr>
      <w:keepNext/>
      <w:keepLines/>
      <w:tabs>
        <w:tab w:val="left" w:pos="1296"/>
      </w:tabs>
      <w:spacing w:before="240" w:after="64" w:line="319" w:lineRule="auto"/>
      <w:ind w:left="1296" w:hanging="1296"/>
      <w:outlineLvl w:val="6"/>
    </w:pPr>
    <w:rPr>
      <w:rFonts w:ascii="宋体"/>
      <w:b/>
      <w:bCs/>
      <w:kern w:val="0"/>
      <w:sz w:val="24"/>
      <w:szCs w:val="24"/>
    </w:rPr>
  </w:style>
  <w:style w:type="paragraph" w:styleId="8">
    <w:name w:val="heading 8"/>
    <w:basedOn w:val="a"/>
    <w:next w:val="a"/>
    <w:qFormat/>
    <w:pPr>
      <w:keepNext/>
      <w:keepLines/>
      <w:tabs>
        <w:tab w:val="left" w:pos="1440"/>
      </w:tabs>
      <w:spacing w:before="240" w:after="64" w:line="319" w:lineRule="auto"/>
      <w:ind w:left="1440" w:hanging="1440"/>
      <w:outlineLvl w:val="7"/>
    </w:pPr>
    <w:rPr>
      <w:rFonts w:ascii="Cambria" w:hAnsi="Cambria"/>
      <w:kern w:val="0"/>
      <w:sz w:val="24"/>
      <w:szCs w:val="24"/>
    </w:rPr>
  </w:style>
  <w:style w:type="paragraph" w:styleId="9">
    <w:name w:val="heading 9"/>
    <w:basedOn w:val="a"/>
    <w:next w:val="a"/>
    <w:qFormat/>
    <w:pPr>
      <w:keepNext/>
      <w:keepLines/>
      <w:tabs>
        <w:tab w:val="left" w:pos="1584"/>
      </w:tabs>
      <w:spacing w:before="240" w:after="64" w:line="319" w:lineRule="auto"/>
      <w:ind w:left="1584" w:hanging="1584"/>
      <w:outlineLvl w:val="8"/>
    </w:pPr>
    <w:rPr>
      <w:rFonts w:ascii="Cambria"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200"/>
    </w:pPr>
  </w:style>
  <w:style w:type="paragraph" w:styleId="a3">
    <w:name w:val="Body Text Indent"/>
    <w:basedOn w:val="a"/>
    <w:next w:val="a4"/>
    <w:qFormat/>
    <w:pPr>
      <w:ind w:firstLineChars="257" w:firstLine="257"/>
    </w:pPr>
    <w:rPr>
      <w:rFonts w:ascii="Times New Roman" w:hAnsi="Times New Roman"/>
      <w:kern w:val="0"/>
      <w:sz w:val="24"/>
      <w:szCs w:val="20"/>
      <w:lang w:val="zh-CN"/>
    </w:rPr>
  </w:style>
  <w:style w:type="paragraph" w:styleId="a4">
    <w:name w:val="Body Text"/>
    <w:basedOn w:val="a"/>
    <w:next w:val="a5"/>
    <w:qFormat/>
    <w:pPr>
      <w:spacing w:after="120"/>
    </w:pPr>
    <w:rPr>
      <w:sz w:val="22"/>
    </w:rPr>
  </w:style>
  <w:style w:type="paragraph" w:styleId="a5">
    <w:name w:val="Body Text First Indent"/>
    <w:basedOn w:val="a4"/>
    <w:qFormat/>
    <w:pPr>
      <w:spacing w:beforeLines="50" w:before="50" w:afterLines="50" w:after="50"/>
      <w:ind w:firstLineChars="100" w:firstLine="100"/>
    </w:pPr>
    <w:rPr>
      <w:sz w:val="32"/>
      <w:lang w:val="zh-CN"/>
    </w:rPr>
  </w:style>
  <w:style w:type="paragraph" w:styleId="30">
    <w:name w:val="List 3"/>
    <w:basedOn w:val="a"/>
    <w:qFormat/>
    <w:pPr>
      <w:ind w:leftChars="400" w:left="600" w:hangingChars="200" w:hanging="200"/>
      <w:contextualSpacing/>
    </w:pPr>
    <w:rPr>
      <w:rFonts w:ascii="宋体"/>
      <w:sz w:val="24"/>
      <w:szCs w:val="24"/>
    </w:rPr>
  </w:style>
  <w:style w:type="paragraph" w:styleId="70">
    <w:name w:val="toc 7"/>
    <w:basedOn w:val="a"/>
    <w:next w:val="a"/>
    <w:qFormat/>
    <w:pPr>
      <w:ind w:left="1440"/>
      <w:jc w:val="left"/>
    </w:pPr>
    <w:rPr>
      <w:sz w:val="18"/>
      <w:szCs w:val="18"/>
    </w:rPr>
  </w:style>
  <w:style w:type="paragraph" w:styleId="a6">
    <w:name w:val="Document Map"/>
    <w:basedOn w:val="a"/>
    <w:qFormat/>
    <w:rPr>
      <w:rFonts w:ascii="宋体"/>
      <w:sz w:val="18"/>
      <w:szCs w:val="18"/>
    </w:rPr>
  </w:style>
  <w:style w:type="paragraph" w:styleId="a7">
    <w:name w:val="annotation text"/>
    <w:basedOn w:val="a"/>
    <w:qFormat/>
    <w:pPr>
      <w:jc w:val="left"/>
    </w:pPr>
  </w:style>
  <w:style w:type="paragraph" w:styleId="a8">
    <w:name w:val="Salutation"/>
    <w:basedOn w:val="a"/>
    <w:next w:val="a"/>
    <w:qFormat/>
    <w:rPr>
      <w:rFonts w:ascii="仿宋_GB2312" w:eastAsia="仿宋_GB2312"/>
      <w:szCs w:val="21"/>
    </w:rPr>
  </w:style>
  <w:style w:type="paragraph" w:styleId="a9">
    <w:name w:val="Closing"/>
    <w:basedOn w:val="a"/>
    <w:qFormat/>
    <w:pPr>
      <w:ind w:leftChars="2100" w:left="2100"/>
    </w:pPr>
    <w:rPr>
      <w:rFonts w:ascii="仿宋_GB2312" w:eastAsia="仿宋_GB2312"/>
      <w:szCs w:val="21"/>
    </w:rPr>
  </w:style>
  <w:style w:type="paragraph" w:styleId="21">
    <w:name w:val="List 2"/>
    <w:basedOn w:val="a"/>
    <w:qFormat/>
    <w:pPr>
      <w:ind w:leftChars="200" w:left="400" w:hangingChars="200" w:hanging="200"/>
      <w:contextualSpacing/>
    </w:pPr>
    <w:rPr>
      <w:rFonts w:ascii="宋体"/>
      <w:sz w:val="24"/>
      <w:szCs w:val="24"/>
    </w:rPr>
  </w:style>
  <w:style w:type="paragraph" w:styleId="aa">
    <w:name w:val="List Continue"/>
    <w:basedOn w:val="a"/>
    <w:qFormat/>
    <w:pPr>
      <w:spacing w:after="120"/>
      <w:ind w:leftChars="200" w:left="200"/>
      <w:contextualSpacing/>
    </w:pPr>
    <w:rPr>
      <w:rFonts w:ascii="宋体"/>
      <w:sz w:val="24"/>
      <w:szCs w:val="24"/>
    </w:rPr>
  </w:style>
  <w:style w:type="paragraph" w:styleId="50">
    <w:name w:val="toc 5"/>
    <w:basedOn w:val="a"/>
    <w:next w:val="a"/>
    <w:qFormat/>
    <w:pPr>
      <w:ind w:left="960"/>
      <w:jc w:val="left"/>
    </w:pPr>
    <w:rPr>
      <w:sz w:val="18"/>
      <w:szCs w:val="18"/>
    </w:rPr>
  </w:style>
  <w:style w:type="paragraph" w:styleId="31">
    <w:name w:val="toc 3"/>
    <w:basedOn w:val="a"/>
    <w:next w:val="a"/>
    <w:qFormat/>
    <w:pPr>
      <w:ind w:leftChars="400" w:left="400"/>
    </w:pPr>
  </w:style>
  <w:style w:type="paragraph" w:styleId="ab">
    <w:name w:val="Plain Text"/>
    <w:basedOn w:val="a"/>
    <w:qFormat/>
    <w:pPr>
      <w:widowControl/>
      <w:tabs>
        <w:tab w:val="left" w:pos="0"/>
        <w:tab w:val="left" w:pos="567"/>
      </w:tabs>
      <w:adjustRightInd w:val="0"/>
      <w:spacing w:line="360" w:lineRule="auto"/>
      <w:ind w:firstLine="567"/>
    </w:pPr>
    <w:rPr>
      <w:rFonts w:ascii="宋体"/>
      <w:szCs w:val="24"/>
    </w:rPr>
  </w:style>
  <w:style w:type="paragraph" w:styleId="80">
    <w:name w:val="toc 8"/>
    <w:basedOn w:val="a"/>
    <w:next w:val="a"/>
    <w:qFormat/>
    <w:pPr>
      <w:ind w:left="1680"/>
      <w:jc w:val="left"/>
    </w:pPr>
    <w:rPr>
      <w:sz w:val="18"/>
      <w:szCs w:val="18"/>
    </w:rPr>
  </w:style>
  <w:style w:type="paragraph" w:styleId="ac">
    <w:name w:val="Date"/>
    <w:basedOn w:val="a"/>
    <w:next w:val="a"/>
    <w:qFormat/>
    <w:pPr>
      <w:ind w:leftChars="2500" w:left="2500"/>
    </w:pPr>
    <w:rPr>
      <w:rFonts w:ascii="Times New Roman" w:hAnsi="Times New Roman"/>
      <w:sz w:val="24"/>
      <w:szCs w:val="24"/>
    </w:rPr>
  </w:style>
  <w:style w:type="paragraph" w:styleId="22">
    <w:name w:val="Body Text Indent 2"/>
    <w:basedOn w:val="a"/>
    <w:qFormat/>
    <w:pPr>
      <w:ind w:firstLineChars="200" w:firstLine="200"/>
    </w:pPr>
    <w:rPr>
      <w:rFonts w:ascii="仿宋_GB2312" w:eastAsia="仿宋_GB2312"/>
      <w:kern w:val="0"/>
      <w:sz w:val="18"/>
      <w:szCs w:val="20"/>
    </w:rPr>
  </w:style>
  <w:style w:type="paragraph" w:styleId="ad">
    <w:name w:val="Balloon Text"/>
    <w:basedOn w:val="a"/>
    <w:qFormat/>
    <w:rPr>
      <w:rFonts w:ascii="Times New Roman" w:hAnsi="Times New Roman"/>
      <w:kern w:val="0"/>
      <w:sz w:val="18"/>
      <w:szCs w:val="20"/>
    </w:rPr>
  </w:style>
  <w:style w:type="paragraph" w:styleId="ae">
    <w:name w:val="footer"/>
    <w:basedOn w:val="a"/>
    <w:next w:val="2"/>
    <w:qFormat/>
    <w:pPr>
      <w:tabs>
        <w:tab w:val="center" w:pos="4153"/>
        <w:tab w:val="right" w:pos="8306"/>
      </w:tabs>
      <w:snapToGrid w:val="0"/>
      <w:jc w:val="left"/>
    </w:pPr>
    <w:rPr>
      <w:rFonts w:ascii="Times New Roman" w:hAnsi="Times New Roman"/>
      <w:kern w:val="0"/>
      <w:sz w:val="18"/>
      <w:szCs w:val="20"/>
    </w:rPr>
  </w:style>
  <w:style w:type="paragraph" w:styleId="af">
    <w:name w:val="header"/>
    <w:basedOn w:val="a"/>
    <w:qFormat/>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qFormat/>
    <w:pPr>
      <w:tabs>
        <w:tab w:val="right" w:leader="dot" w:pos="9288"/>
      </w:tabs>
    </w:pPr>
  </w:style>
  <w:style w:type="paragraph" w:styleId="40">
    <w:name w:val="toc 4"/>
    <w:basedOn w:val="a"/>
    <w:next w:val="a"/>
    <w:qFormat/>
    <w:pPr>
      <w:ind w:left="720"/>
      <w:jc w:val="left"/>
    </w:pPr>
    <w:rPr>
      <w:sz w:val="18"/>
      <w:szCs w:val="18"/>
    </w:rPr>
  </w:style>
  <w:style w:type="paragraph" w:styleId="af0">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f1">
    <w:name w:val="List"/>
    <w:basedOn w:val="a"/>
    <w:qFormat/>
    <w:pPr>
      <w:tabs>
        <w:tab w:val="left" w:pos="1440"/>
      </w:tabs>
      <w:spacing w:line="500" w:lineRule="exact"/>
      <w:ind w:left="-207" w:firstLine="567"/>
    </w:pPr>
    <w:rPr>
      <w:rFonts w:ascii="Times New Roman" w:hAnsi="Times New Roman"/>
      <w:color w:val="000000"/>
      <w:sz w:val="24"/>
      <w:szCs w:val="24"/>
    </w:rPr>
  </w:style>
  <w:style w:type="paragraph" w:styleId="60">
    <w:name w:val="toc 6"/>
    <w:basedOn w:val="a"/>
    <w:next w:val="a"/>
    <w:qFormat/>
    <w:pPr>
      <w:ind w:left="1200"/>
      <w:jc w:val="left"/>
    </w:pPr>
    <w:rPr>
      <w:sz w:val="18"/>
      <w:szCs w:val="18"/>
    </w:rPr>
  </w:style>
  <w:style w:type="paragraph" w:styleId="32">
    <w:name w:val="Body Text Indent 3"/>
    <w:basedOn w:val="a"/>
    <w:qFormat/>
    <w:pPr>
      <w:spacing w:after="120"/>
      <w:ind w:leftChars="200" w:left="200"/>
    </w:pPr>
    <w:rPr>
      <w:rFonts w:ascii="宋体"/>
      <w:sz w:val="16"/>
      <w:szCs w:val="16"/>
    </w:rPr>
  </w:style>
  <w:style w:type="paragraph" w:styleId="23">
    <w:name w:val="toc 2"/>
    <w:basedOn w:val="a"/>
    <w:next w:val="a"/>
    <w:qFormat/>
    <w:pPr>
      <w:tabs>
        <w:tab w:val="right" w:leader="dot" w:pos="9288"/>
      </w:tabs>
      <w:jc w:val="left"/>
    </w:pPr>
  </w:style>
  <w:style w:type="paragraph" w:styleId="90">
    <w:name w:val="toc 9"/>
    <w:basedOn w:val="a"/>
    <w:next w:val="a"/>
    <w:qFormat/>
    <w:pPr>
      <w:ind w:left="1920"/>
      <w:jc w:val="left"/>
    </w:pPr>
    <w:rPr>
      <w:sz w:val="18"/>
      <w:szCs w:val="18"/>
    </w:rPr>
  </w:style>
  <w:style w:type="paragraph" w:styleId="41">
    <w:name w:val="List 4"/>
    <w:basedOn w:val="a"/>
    <w:qFormat/>
    <w:pPr>
      <w:ind w:leftChars="600" w:left="800" w:hangingChars="200" w:hanging="200"/>
      <w:contextualSpacing/>
    </w:pPr>
    <w:rPr>
      <w:rFonts w:ascii="宋体"/>
      <w:sz w:val="24"/>
      <w:szCs w:val="24"/>
    </w:rPr>
  </w:style>
  <w:style w:type="paragraph" w:styleId="af2">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kern w:val="0"/>
      <w:sz w:val="24"/>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af3">
    <w:name w:val="Normal (Web)"/>
    <w:basedOn w:val="a"/>
    <w:qFormat/>
    <w:pPr>
      <w:widowControl/>
      <w:spacing w:before="100" w:beforeAutospacing="1" w:after="100" w:afterAutospacing="1"/>
      <w:jc w:val="left"/>
    </w:pPr>
    <w:rPr>
      <w:rFonts w:ascii="宋体" w:cs="宋体"/>
      <w:kern w:val="0"/>
      <w:sz w:val="24"/>
      <w:szCs w:val="24"/>
    </w:rPr>
  </w:style>
  <w:style w:type="paragraph" w:styleId="af4">
    <w:name w:val="Title"/>
    <w:basedOn w:val="a"/>
    <w:next w:val="a"/>
    <w:qFormat/>
    <w:pPr>
      <w:spacing w:before="240" w:after="60"/>
      <w:jc w:val="center"/>
      <w:outlineLvl w:val="0"/>
    </w:pPr>
    <w:rPr>
      <w:rFonts w:ascii="Cambria" w:hAnsi="Cambria"/>
      <w:b/>
      <w:bCs/>
      <w:sz w:val="32"/>
      <w:szCs w:val="32"/>
    </w:rPr>
  </w:style>
  <w:style w:type="paragraph" w:styleId="af5">
    <w:name w:val="annotation subject"/>
    <w:basedOn w:val="a7"/>
    <w:next w:val="a7"/>
    <w:qFormat/>
    <w:rPr>
      <w:b/>
      <w:bCs/>
    </w:rPr>
  </w:style>
  <w:style w:type="character" w:styleId="af6">
    <w:name w:val="Strong"/>
    <w:qFormat/>
    <w:rPr>
      <w:rFonts w:cs="Times New Roman"/>
      <w:b/>
    </w:rPr>
  </w:style>
  <w:style w:type="character" w:styleId="af7">
    <w:name w:val="page number"/>
    <w:qFormat/>
    <w:rPr>
      <w:rFonts w:cs="Times New Roman"/>
    </w:rPr>
  </w:style>
  <w:style w:type="character" w:styleId="af8">
    <w:name w:val="FollowedHyperlink"/>
    <w:qFormat/>
    <w:rPr>
      <w:color w:val="800080"/>
      <w:u w:val="single"/>
    </w:rPr>
  </w:style>
  <w:style w:type="character" w:styleId="af9">
    <w:name w:val="Emphasis"/>
    <w:qFormat/>
    <w:rPr>
      <w:i/>
    </w:rPr>
  </w:style>
  <w:style w:type="character" w:styleId="HTML0">
    <w:name w:val="HTML Definition"/>
    <w:qFormat/>
    <w:rPr>
      <w:i/>
    </w:rPr>
  </w:style>
  <w:style w:type="character" w:styleId="HTML1">
    <w:name w:val="HTML Acronym"/>
    <w:qFormat/>
  </w:style>
  <w:style w:type="character" w:styleId="HTML2">
    <w:name w:val="HTML Variable"/>
    <w:qFormat/>
    <w:rPr>
      <w:i/>
    </w:rPr>
  </w:style>
  <w:style w:type="character" w:styleId="afa">
    <w:name w:val="Hyperlink"/>
    <w:qFormat/>
    <w:rPr>
      <w:rFonts w:cs="Times New Roman"/>
      <w:color w:val="0000FF"/>
      <w:u w:val="single"/>
    </w:rPr>
  </w:style>
  <w:style w:type="character" w:styleId="HTML3">
    <w:name w:val="HTML Code"/>
    <w:qFormat/>
    <w:rPr>
      <w:rFonts w:ascii="Courier New" w:hAnsi="Courier New"/>
      <w:sz w:val="20"/>
    </w:rPr>
  </w:style>
  <w:style w:type="character" w:styleId="afb">
    <w:name w:val="annotation reference"/>
    <w:qFormat/>
    <w:rPr>
      <w:rFonts w:cs="Times New Roman"/>
      <w:sz w:val="21"/>
      <w:szCs w:val="21"/>
    </w:rPr>
  </w:style>
  <w:style w:type="character" w:styleId="HTML4">
    <w:name w:val="HTML Cite"/>
    <w:qFormat/>
    <w:rPr>
      <w:i/>
    </w:rPr>
  </w:style>
  <w:style w:type="character" w:customStyle="1" w:styleId="Heading2Char">
    <w:name w:val="Heading 2 Char"/>
    <w:qFormat/>
    <w:rPr>
      <w:rFonts w:ascii="Cambria" w:eastAsia="宋体" w:hAnsi="Cambria" w:cs="Times New Roman"/>
      <w:b/>
      <w:sz w:val="32"/>
    </w:rPr>
  </w:style>
  <w:style w:type="paragraph" w:customStyle="1" w:styleId="ListParagraph1">
    <w:name w:val="List Paragraph1"/>
    <w:basedOn w:val="a"/>
    <w:qFormat/>
    <w:pPr>
      <w:ind w:firstLineChars="200" w:firstLine="200"/>
    </w:p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fc">
    <w:name w:val="表格文字"/>
    <w:basedOn w:val="a"/>
    <w:qFormat/>
    <w:pPr>
      <w:spacing w:line="300" w:lineRule="auto"/>
    </w:pPr>
    <w:rPr>
      <w:rFonts w:ascii="Times New Roman" w:hAnsi="Times New Roman"/>
      <w:spacing w:val="10"/>
      <w:szCs w:val="24"/>
    </w:rPr>
  </w:style>
  <w:style w:type="paragraph" w:customStyle="1" w:styleId="11">
    <w:name w:val="列出段落1"/>
    <w:basedOn w:val="a"/>
    <w:qFormat/>
    <w:pPr>
      <w:ind w:firstLineChars="200" w:firstLine="200"/>
    </w:pPr>
  </w:style>
  <w:style w:type="paragraph" w:customStyle="1" w:styleId="ListParagraph11">
    <w:name w:val="List Paragraph11"/>
    <w:basedOn w:val="a"/>
    <w:qFormat/>
    <w:pPr>
      <w:ind w:firstLineChars="200" w:firstLine="200"/>
    </w:pPr>
  </w:style>
  <w:style w:type="character" w:customStyle="1" w:styleId="ca-21">
    <w:name w:val="ca-21"/>
    <w:qFormat/>
    <w:rPr>
      <w:rFonts w:ascii="仿宋_GB2312" w:eastAsia="仿宋_GB2312"/>
      <w:sz w:val="32"/>
    </w:rPr>
  </w:style>
  <w:style w:type="paragraph" w:customStyle="1" w:styleId="a00">
    <w:name w:val="a0"/>
    <w:basedOn w:val="a"/>
    <w:qFormat/>
    <w:pPr>
      <w:widowControl/>
      <w:spacing w:before="100" w:beforeAutospacing="1" w:after="100" w:afterAutospacing="1"/>
      <w:jc w:val="left"/>
    </w:pPr>
    <w:rPr>
      <w:rFonts w:ascii="宋体" w:cs="宋体"/>
      <w:kern w:val="0"/>
      <w:sz w:val="24"/>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6">
    <w:name w:val="reader-word-layer reader-word-s2-6"/>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2">
    <w:name w:val="reader-word-layer reader-word-s2-2"/>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1">
    <w:name w:val="reader-word-layer reader-word-s2-1"/>
    <w:basedOn w:val="a"/>
    <w:qFormat/>
    <w:pPr>
      <w:widowControl/>
      <w:spacing w:before="100" w:beforeAutospacing="1" w:after="100" w:afterAutospacing="1"/>
      <w:jc w:val="left"/>
    </w:pPr>
    <w:rPr>
      <w:rFonts w:ascii="宋体" w:cs="宋体"/>
      <w:kern w:val="0"/>
      <w:sz w:val="24"/>
      <w:szCs w:val="24"/>
    </w:rPr>
  </w:style>
  <w:style w:type="character" w:customStyle="1" w:styleId="font1">
    <w:name w:val="font1"/>
    <w:qFormat/>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4">
    <w:name w:val="列出段落2"/>
    <w:basedOn w:val="a"/>
    <w:qFormat/>
    <w:pPr>
      <w:ind w:firstLineChars="200" w:firstLine="200"/>
    </w:pPr>
  </w:style>
  <w:style w:type="character" w:customStyle="1" w:styleId="font41">
    <w:name w:val="font41"/>
    <w:qFormat/>
    <w:rPr>
      <w:rFonts w:ascii="宋体" w:eastAsia="宋体"/>
      <w:color w:val="000000"/>
      <w:sz w:val="20"/>
      <w:u w:val="none"/>
    </w:rPr>
  </w:style>
  <w:style w:type="character" w:customStyle="1" w:styleId="font81">
    <w:name w:val="font81"/>
    <w:qFormat/>
    <w:rPr>
      <w:rFonts w:ascii="宋体" w:eastAsia="宋体"/>
      <w:color w:val="000000"/>
      <w:sz w:val="20"/>
      <w:u w:val="none"/>
    </w:rPr>
  </w:style>
  <w:style w:type="paragraph" w:customStyle="1" w:styleId="zw">
    <w:name w:val="zw"/>
    <w:basedOn w:val="a"/>
    <w:qFormat/>
    <w:pPr>
      <w:widowControl/>
      <w:spacing w:before="100" w:beforeAutospacing="1" w:after="100" w:afterAutospacing="1"/>
      <w:jc w:val="left"/>
    </w:pPr>
    <w:rPr>
      <w:rFonts w:ascii="宋体" w:cs="宋体"/>
      <w:kern w:val="0"/>
      <w:sz w:val="24"/>
    </w:rPr>
  </w:style>
  <w:style w:type="paragraph" w:customStyle="1" w:styleId="33">
    <w:name w:val="列出段落3"/>
    <w:basedOn w:val="a"/>
    <w:qFormat/>
    <w:pPr>
      <w:ind w:firstLineChars="200" w:firstLine="200"/>
    </w:pPr>
  </w:style>
  <w:style w:type="paragraph" w:customStyle="1" w:styleId="310">
    <w:name w:val="列出段落31"/>
    <w:basedOn w:val="a"/>
    <w:qFormat/>
    <w:pPr>
      <w:ind w:firstLineChars="200" w:firstLine="200"/>
    </w:pPr>
  </w:style>
  <w:style w:type="character" w:customStyle="1" w:styleId="ht1">
    <w:name w:val="ht1"/>
    <w:qFormat/>
  </w:style>
  <w:style w:type="paragraph" w:customStyle="1" w:styleId="xb">
    <w:name w:val="xb"/>
    <w:basedOn w:val="a"/>
    <w:qFormat/>
    <w:pPr>
      <w:widowControl/>
      <w:spacing w:before="100" w:beforeAutospacing="1" w:after="100" w:afterAutospacing="1"/>
      <w:jc w:val="left"/>
    </w:pPr>
    <w:rPr>
      <w:rFonts w:ascii="宋体" w:cs="宋体"/>
      <w:kern w:val="0"/>
      <w:sz w:val="24"/>
    </w:rPr>
  </w:style>
  <w:style w:type="paragraph" w:styleId="afd">
    <w:name w:val="List Paragraph"/>
    <w:basedOn w:val="a"/>
    <w:qFormat/>
    <w:pPr>
      <w:ind w:firstLineChars="200" w:firstLine="200"/>
    </w:pPr>
  </w:style>
  <w:style w:type="paragraph" w:customStyle="1" w:styleId="42">
    <w:name w:val="列出段落4"/>
    <w:basedOn w:val="a"/>
    <w:qFormat/>
    <w:pPr>
      <w:spacing w:line="360" w:lineRule="auto"/>
      <w:ind w:firstLineChars="200" w:firstLine="200"/>
    </w:pPr>
  </w:style>
  <w:style w:type="character" w:customStyle="1" w:styleId="CharChar11">
    <w:name w:val="Char Char11"/>
    <w:qFormat/>
    <w:rPr>
      <w:rFonts w:ascii="Arial" w:eastAsia="黑体" w:hAnsi="Arial"/>
      <w:b/>
      <w:sz w:val="32"/>
      <w:lang w:val="zh-CN" w:eastAsia="zh-CN"/>
    </w:rPr>
  </w:style>
  <w:style w:type="paragraph" w:styleId="afe">
    <w:name w:val="No Spacing"/>
    <w:qFormat/>
    <w:pPr>
      <w:adjustRightInd w:val="0"/>
      <w:snapToGrid w:val="0"/>
    </w:pPr>
    <w:rPr>
      <w:rFonts w:ascii="Tahoma" w:eastAsia="微软雅黑" w:hAnsi="Tahoma"/>
      <w:sz w:val="22"/>
      <w:szCs w:val="22"/>
    </w:rPr>
  </w:style>
  <w:style w:type="character" w:customStyle="1" w:styleId="6Char1">
    <w:name w:val="标题 6 Char1"/>
    <w:qFormat/>
    <w:rPr>
      <w:rFonts w:ascii="Cambria" w:hAnsi="Cambria"/>
      <w:b/>
      <w:bCs/>
      <w:kern w:val="2"/>
      <w:sz w:val="24"/>
      <w:szCs w:val="24"/>
    </w:rPr>
  </w:style>
  <w:style w:type="character" w:customStyle="1" w:styleId="aff">
    <w:name w:val="批注文字 字符"/>
    <w:qFormat/>
    <w:rPr>
      <w:rFonts w:ascii="Futura Bk" w:hAnsi="Futura Bk"/>
      <w:sz w:val="24"/>
      <w:lang w:val="en-GB"/>
    </w:rPr>
  </w:style>
  <w:style w:type="character" w:customStyle="1" w:styleId="8Char1">
    <w:name w:val="标题 8 Char1"/>
    <w:qFormat/>
    <w:rPr>
      <w:rFonts w:ascii="Cambria" w:hAnsi="Cambria"/>
      <w:kern w:val="2"/>
      <w:sz w:val="24"/>
      <w:szCs w:val="24"/>
    </w:rPr>
  </w:style>
  <w:style w:type="character" w:customStyle="1" w:styleId="aff0">
    <w:name w:val="标题 字符"/>
    <w:qFormat/>
    <w:rPr>
      <w:rFonts w:ascii="Calibri Light" w:hAnsi="Calibri Light"/>
      <w:b/>
      <w:bCs/>
      <w:kern w:val="2"/>
      <w:sz w:val="32"/>
      <w:szCs w:val="32"/>
    </w:rPr>
  </w:style>
  <w:style w:type="character" w:customStyle="1" w:styleId="Char1">
    <w:name w:val="批注文字 Char1"/>
    <w:qFormat/>
    <w:rPr>
      <w:rFonts w:ascii="宋体"/>
      <w:kern w:val="2"/>
      <w:sz w:val="24"/>
      <w:szCs w:val="24"/>
    </w:rPr>
  </w:style>
  <w:style w:type="character" w:customStyle="1" w:styleId="9Char1">
    <w:name w:val="标题 9 Char1"/>
    <w:qFormat/>
    <w:rPr>
      <w:rFonts w:ascii="Cambria" w:hAnsi="Cambria"/>
      <w:kern w:val="2"/>
      <w:sz w:val="21"/>
      <w:szCs w:val="21"/>
    </w:rPr>
  </w:style>
  <w:style w:type="character" w:customStyle="1" w:styleId="HTMLChar1">
    <w:name w:val="HTML 预设格式 Char1"/>
    <w:qFormat/>
    <w:rPr>
      <w:rFonts w:ascii="宋体" w:cs="宋体"/>
      <w:sz w:val="24"/>
      <w:szCs w:val="24"/>
    </w:rPr>
  </w:style>
  <w:style w:type="character" w:customStyle="1" w:styleId="7Char1">
    <w:name w:val="标题 7 Char1"/>
    <w:qFormat/>
    <w:rPr>
      <w:b/>
      <w:bCs/>
      <w:kern w:val="2"/>
      <w:sz w:val="24"/>
      <w:szCs w:val="24"/>
    </w:rPr>
  </w:style>
  <w:style w:type="character" w:customStyle="1" w:styleId="aff1">
    <w:name w:val="批注主题 字符"/>
    <w:qFormat/>
    <w:rPr>
      <w:rFonts w:ascii="Futura Bk" w:hAnsi="Futura Bk"/>
      <w:b/>
      <w:bCs/>
      <w:sz w:val="24"/>
      <w:lang w:val="en-GB"/>
    </w:rPr>
  </w:style>
  <w:style w:type="character" w:customStyle="1" w:styleId="Char10">
    <w:name w:val="信息标题 Char1"/>
    <w:qFormat/>
    <w:rPr>
      <w:rFonts w:ascii="Cambria" w:hAnsi="Cambria"/>
      <w:sz w:val="24"/>
      <w:szCs w:val="24"/>
      <w:shd w:val="pct20" w:color="auto" w:fill="auto"/>
    </w:rPr>
  </w:style>
  <w:style w:type="character" w:customStyle="1" w:styleId="12">
    <w:name w:val="标题 1 字符"/>
    <w:qFormat/>
    <w:rPr>
      <w:b/>
      <w:bCs/>
      <w:kern w:val="44"/>
      <w:sz w:val="32"/>
      <w:szCs w:val="44"/>
      <w:lang w:val="en-GB"/>
    </w:rPr>
  </w:style>
  <w:style w:type="character" w:customStyle="1" w:styleId="CharChar8">
    <w:name w:val="Char Char8"/>
    <w:qFormat/>
    <w:rPr>
      <w:rFonts w:ascii="Calibri" w:eastAsia="宋体" w:hAnsi="Calibri"/>
      <w:b/>
      <w:bCs/>
      <w:kern w:val="44"/>
      <w:sz w:val="44"/>
      <w:szCs w:val="44"/>
      <w:lang w:val="en-US" w:eastAsia="zh-CN" w:bidi="ar-SA"/>
    </w:rPr>
  </w:style>
  <w:style w:type="paragraph" w:customStyle="1" w:styleId="13">
    <w:name w:val="表格正文1"/>
    <w:basedOn w:val="a"/>
    <w:qFormat/>
    <w:rPr>
      <w:rFonts w:ascii="Times New Roman" w:hAnsi="Times New Roman"/>
      <w:szCs w:val="20"/>
    </w:rPr>
  </w:style>
  <w:style w:type="character" w:customStyle="1" w:styleId="5Char1">
    <w:name w:val="标题 5 Char1"/>
    <w:qFormat/>
    <w:rPr>
      <w:b/>
      <w:bCs/>
      <w:kern w:val="2"/>
      <w:sz w:val="28"/>
      <w:szCs w:val="28"/>
    </w:rPr>
  </w:style>
  <w:style w:type="paragraph" w:customStyle="1" w:styleId="aff2">
    <w:name w:val="一级"/>
    <w:basedOn w:val="a"/>
    <w:qFormat/>
    <w:pPr>
      <w:tabs>
        <w:tab w:val="left" w:pos="1276"/>
      </w:tabs>
      <w:spacing w:line="360" w:lineRule="auto"/>
      <w:ind w:firstLine="300"/>
    </w:pPr>
    <w:rPr>
      <w:rFonts w:ascii="宋体"/>
      <w:szCs w:val="21"/>
    </w:rPr>
  </w:style>
  <w:style w:type="character" w:customStyle="1" w:styleId="apple-converted-space">
    <w:name w:val="apple-converted-space"/>
    <w:qFormat/>
  </w:style>
  <w:style w:type="character" w:customStyle="1" w:styleId="aff3">
    <w:name w:val="批注框文本 字符"/>
    <w:qFormat/>
    <w:rPr>
      <w:rFonts w:ascii="宋体" w:eastAsia="宋体" w:cs="Times New Roman"/>
      <w:kern w:val="2"/>
      <w:sz w:val="18"/>
      <w:szCs w:val="18"/>
    </w:rPr>
  </w:style>
  <w:style w:type="character" w:customStyle="1" w:styleId="Char">
    <w:name w:val="纯文本 Char"/>
    <w:qFormat/>
    <w:rPr>
      <w:rFonts w:ascii="宋体" w:cs="Courier New"/>
      <w:kern w:val="2"/>
      <w:sz w:val="21"/>
      <w:szCs w:val="21"/>
    </w:rPr>
  </w:style>
  <w:style w:type="character" w:customStyle="1" w:styleId="Char11">
    <w:name w:val="页脚 Char1"/>
    <w:qFormat/>
    <w:rPr>
      <w:sz w:val="18"/>
      <w:szCs w:val="18"/>
    </w:rPr>
  </w:style>
  <w:style w:type="character" w:customStyle="1" w:styleId="BodyTextIndentChar">
    <w:name w:val="Body Text Indent Char"/>
    <w:qFormat/>
    <w:rPr>
      <w:szCs w:val="24"/>
    </w:rPr>
  </w:style>
  <w:style w:type="character" w:customStyle="1" w:styleId="aff4">
    <w:name w:val="页脚 字符"/>
    <w:qFormat/>
    <w:rPr>
      <w:rFonts w:ascii="宋体" w:eastAsia="宋体" w:cs="Times New Roman"/>
      <w:sz w:val="18"/>
      <w:szCs w:val="18"/>
    </w:rPr>
  </w:style>
  <w:style w:type="character" w:customStyle="1" w:styleId="4Char1">
    <w:name w:val="标题 4 Char1"/>
    <w:qFormat/>
    <w:rPr>
      <w:rFonts w:ascii="Cambria" w:hAnsi="Cambria"/>
      <w:b/>
      <w:bCs/>
      <w:kern w:val="2"/>
      <w:sz w:val="28"/>
      <w:szCs w:val="28"/>
    </w:rPr>
  </w:style>
  <w:style w:type="character" w:customStyle="1" w:styleId="aff5">
    <w:name w:val="消息标题号"/>
    <w:qFormat/>
    <w:rPr>
      <w:rFonts w:ascii="Arial Black" w:eastAsia="黑体" w:hAnsi="Arial Black"/>
      <w:spacing w:val="-10"/>
      <w:sz w:val="21"/>
    </w:rPr>
  </w:style>
  <w:style w:type="character" w:customStyle="1" w:styleId="aff6">
    <w:name w:val="文档结构图 字符"/>
    <w:qFormat/>
    <w:rPr>
      <w:rFonts w:ascii="宋体" w:eastAsia="宋体" w:cs="Times New Roman"/>
      <w:kern w:val="2"/>
      <w:sz w:val="18"/>
      <w:szCs w:val="18"/>
    </w:rPr>
  </w:style>
  <w:style w:type="character" w:customStyle="1" w:styleId="34">
    <w:name w:val="标题 3 字符"/>
    <w:qFormat/>
    <w:rPr>
      <w:b/>
      <w:bCs/>
      <w:sz w:val="28"/>
      <w:szCs w:val="32"/>
      <w:lang w:val="en-GB"/>
    </w:rPr>
  </w:style>
  <w:style w:type="character" w:customStyle="1" w:styleId="aff7">
    <w:name w:val="页眉 字符"/>
    <w:qFormat/>
    <w:rPr>
      <w:rFonts w:ascii="宋体" w:eastAsia="宋体" w:cs="Times New Roman"/>
      <w:sz w:val="18"/>
      <w:szCs w:val="18"/>
    </w:rPr>
  </w:style>
  <w:style w:type="character" w:customStyle="1" w:styleId="25">
    <w:name w:val="标题 2 字符"/>
    <w:qFormat/>
    <w:rPr>
      <w:rFonts w:ascii="Arial" w:hAnsi="Arial"/>
      <w:b/>
      <w:bCs/>
      <w:sz w:val="30"/>
      <w:szCs w:val="32"/>
      <w:lang w:val="en-GB"/>
    </w:rPr>
  </w:style>
  <w:style w:type="character" w:customStyle="1" w:styleId="100">
    <w:name w:val="10"/>
    <w:qFormat/>
    <w:rPr>
      <w:rFonts w:ascii="Times New Roman" w:hAnsi="Times New Roman" w:cs="Times New Roman"/>
    </w:rPr>
  </w:style>
  <w:style w:type="character" w:customStyle="1" w:styleId="15">
    <w:name w:val="15"/>
    <w:qFormat/>
    <w:rPr>
      <w:rFonts w:ascii="Times New Roman" w:hAnsi="Times New Roman" w:cs="Times New Roman"/>
      <w:color w:val="0000FF"/>
      <w:u w:val="single"/>
    </w:rPr>
  </w:style>
  <w:style w:type="character" w:customStyle="1" w:styleId="aff8">
    <w:name w:val="日期 字符"/>
    <w:qFormat/>
    <w:rPr>
      <w:rFonts w:ascii="宋体" w:eastAsia="宋体" w:cs="Times New Roman"/>
      <w:kern w:val="2"/>
      <w:sz w:val="24"/>
      <w:szCs w:val="24"/>
    </w:rPr>
  </w:style>
  <w:style w:type="character" w:customStyle="1" w:styleId="Char12">
    <w:name w:val="批注主题 Char1"/>
    <w:qFormat/>
    <w:rPr>
      <w:rFonts w:ascii="宋体"/>
      <w:b/>
      <w:bCs/>
      <w:kern w:val="2"/>
      <w:sz w:val="24"/>
      <w:szCs w:val="24"/>
    </w:rPr>
  </w:style>
  <w:style w:type="character" w:customStyle="1" w:styleId="aff9">
    <w:name w:val="正文文本缩进 字符"/>
    <w:qFormat/>
    <w:rPr>
      <w:rFonts w:cs="Times New Roman"/>
      <w:kern w:val="2"/>
      <w:sz w:val="24"/>
      <w:szCs w:val="24"/>
    </w:rPr>
  </w:style>
  <w:style w:type="character" w:customStyle="1" w:styleId="Char13">
    <w:name w:val="称呼 Char1"/>
    <w:qFormat/>
    <w:rPr>
      <w:rFonts w:ascii="Calibri" w:hAnsi="Calibri"/>
      <w:kern w:val="2"/>
      <w:sz w:val="21"/>
      <w:szCs w:val="22"/>
    </w:rPr>
  </w:style>
  <w:style w:type="character" w:customStyle="1" w:styleId="Char14">
    <w:name w:val="结束语 Char1"/>
    <w:qFormat/>
    <w:rPr>
      <w:rFonts w:ascii="Calibri" w:hAnsi="Calibri"/>
      <w:kern w:val="2"/>
      <w:sz w:val="21"/>
      <w:szCs w:val="22"/>
    </w:rPr>
  </w:style>
  <w:style w:type="character" w:customStyle="1" w:styleId="Char2">
    <w:name w:val="纯文本 Char2"/>
    <w:qFormat/>
    <w:rPr>
      <w:rFonts w:ascii="宋体" w:cs="Courier New"/>
      <w:kern w:val="2"/>
      <w:sz w:val="21"/>
      <w:szCs w:val="21"/>
    </w:rPr>
  </w:style>
  <w:style w:type="paragraph" w:customStyle="1" w:styleId="affa">
    <w:name w:val="样式 附件 + 加粗"/>
    <w:basedOn w:val="a"/>
    <w:qFormat/>
    <w:pPr>
      <w:ind w:left="357" w:hanging="57"/>
    </w:pPr>
    <w:rPr>
      <w:rFonts w:ascii="Times New Roman" w:eastAsia="仿宋_GB2312" w:hAnsi="Times New Roman"/>
      <w:b/>
      <w:bCs/>
      <w:sz w:val="28"/>
      <w:szCs w:val="24"/>
    </w:rPr>
  </w:style>
  <w:style w:type="paragraph" w:customStyle="1" w:styleId="p16">
    <w:name w:val="p16"/>
    <w:basedOn w:val="a"/>
    <w:qFormat/>
    <w:rPr>
      <w:rFonts w:ascii="Times New Roman" w:hAnsi="Times New Roman"/>
      <w:kern w:val="0"/>
      <w:szCs w:val="21"/>
    </w:rPr>
  </w:style>
  <w:style w:type="character" w:customStyle="1" w:styleId="Char15">
    <w:name w:val="副标题 Char1"/>
    <w:qFormat/>
    <w:rPr>
      <w:rFonts w:ascii="Cambria" w:hAnsi="Cambria" w:cs="Times New Roman"/>
      <w:b/>
      <w:bCs/>
      <w:kern w:val="28"/>
      <w:sz w:val="32"/>
      <w:szCs w:val="32"/>
    </w:rPr>
  </w:style>
  <w:style w:type="character" w:customStyle="1" w:styleId="3Char1">
    <w:name w:val="正文文本缩进 3 Char1"/>
    <w:qFormat/>
    <w:rPr>
      <w:rFonts w:ascii="Calibri" w:hAnsi="Calibri"/>
      <w:kern w:val="2"/>
      <w:sz w:val="16"/>
      <w:szCs w:val="16"/>
    </w:rPr>
  </w:style>
  <w:style w:type="character" w:customStyle="1" w:styleId="Char20">
    <w:name w:val="信息标题 Char2"/>
    <w:qFormat/>
    <w:rPr>
      <w:rFonts w:ascii="Cambria" w:eastAsia="宋体" w:hAnsi="Cambria" w:cs="Times New Roman"/>
      <w:kern w:val="2"/>
      <w:sz w:val="24"/>
      <w:szCs w:val="24"/>
      <w:shd w:val="pct20" w:color="auto" w:fill="auto"/>
    </w:rPr>
  </w:style>
  <w:style w:type="character" w:customStyle="1" w:styleId="HTMLChar2">
    <w:name w:val="HTML 预设格式 Char2"/>
    <w:qFormat/>
    <w:rPr>
      <w:rFonts w:ascii="Courier New" w:hAnsi="Courier New" w:cs="Courier New"/>
      <w:kern w:val="2"/>
    </w:rPr>
  </w:style>
  <w:style w:type="paragraph" w:customStyle="1" w:styleId="51">
    <w:name w:val="列出段落5"/>
    <w:basedOn w:val="a"/>
    <w:qFormat/>
    <w:pPr>
      <w:ind w:firstLineChars="200" w:firstLine="200"/>
    </w:pPr>
  </w:style>
  <w:style w:type="paragraph" w:customStyle="1" w:styleId="affb">
    <w:name w:val="目录标题"/>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affc">
    <w:name w:val="首消息标题"/>
    <w:basedOn w:val="af2"/>
    <w:next w:val="af2"/>
    <w:qFormat/>
    <w:pPr>
      <w:keepLines/>
      <w:widowControl/>
      <w:pBdr>
        <w:top w:val="none" w:sz="0" w:space="0" w:color="auto"/>
        <w:left w:val="none" w:sz="0" w:space="0" w:color="auto"/>
        <w:bottom w:val="none" w:sz="0" w:space="0" w:color="auto"/>
        <w:right w:val="none" w:sz="0" w:space="0" w:color="auto"/>
      </w:pBdr>
      <w:shd w:val="clear" w:color="auto" w:fill="auto"/>
      <w:tabs>
        <w:tab w:val="left" w:pos="720"/>
      </w:tabs>
      <w:spacing w:before="220" w:after="120" w:line="180" w:lineRule="atLeast"/>
      <w:ind w:leftChars="0" w:left="720" w:firstLineChars="0" w:hanging="720"/>
      <w:jc w:val="left"/>
    </w:pPr>
    <w:rPr>
      <w:spacing w:val="-5"/>
      <w:sz w:val="21"/>
      <w:szCs w:val="20"/>
    </w:rPr>
  </w:style>
  <w:style w:type="paragraph" w:customStyle="1" w:styleId="14">
    <w:name w:val="表格标题1"/>
    <w:basedOn w:val="a"/>
    <w:qFormat/>
    <w:rPr>
      <w:rFonts w:ascii="宋体"/>
      <w:b/>
      <w:szCs w:val="24"/>
    </w:rPr>
  </w:style>
  <w:style w:type="paragraph" w:customStyle="1" w:styleId="p0">
    <w:name w:val="p0"/>
    <w:basedOn w:val="a"/>
    <w:qFormat/>
    <w:rPr>
      <w:rFonts w:ascii="Times New Roman" w:hAnsi="Times New Roman"/>
      <w:kern w:val="0"/>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rPr>
  </w:style>
  <w:style w:type="paragraph" w:customStyle="1" w:styleId="bigtext">
    <w:name w:val="bigtext"/>
    <w:basedOn w:val="a"/>
    <w:qFormat/>
    <w:pPr>
      <w:widowControl/>
      <w:spacing w:before="100" w:beforeAutospacing="1" w:after="100" w:afterAutospacing="1" w:line="360" w:lineRule="atLeast"/>
      <w:jc w:val="left"/>
    </w:pPr>
    <w:rPr>
      <w:rFonts w:ascii="ˎ̥" w:hAnsi="ˎ̥"/>
      <w:kern w:val="0"/>
      <w:sz w:val="24"/>
      <w:szCs w:val="21"/>
    </w:rPr>
  </w:style>
  <w:style w:type="paragraph" w:customStyle="1" w:styleId="1-21">
    <w:name w:val="中等深浅网格 1 - 强调文字颜色 21"/>
    <w:basedOn w:val="a"/>
    <w:qFormat/>
    <w:pPr>
      <w:widowControl/>
      <w:ind w:firstLine="420"/>
    </w:pPr>
    <w:rPr>
      <w:rFonts w:ascii="Times New Roman" w:hAnsi="Times New Roman"/>
      <w:kern w:val="0"/>
      <w:szCs w:val="21"/>
    </w:rPr>
  </w:style>
  <w:style w:type="paragraph" w:customStyle="1" w:styleId="Style1">
    <w:name w:val="_Style 1"/>
    <w:basedOn w:val="a"/>
    <w:qFormat/>
    <w:pPr>
      <w:widowControl/>
      <w:ind w:firstLine="420"/>
    </w:pPr>
    <w:rPr>
      <w:rFonts w:ascii="Times New Roman" w:hAnsi="Times New Roman"/>
      <w:kern w:val="0"/>
      <w:szCs w:val="21"/>
    </w:rPr>
  </w:style>
  <w:style w:type="paragraph" w:customStyle="1" w:styleId="affd">
    <w:name w:val="二级"/>
    <w:basedOn w:val="a"/>
    <w:qFormat/>
    <w:pPr>
      <w:spacing w:line="360" w:lineRule="auto"/>
      <w:ind w:firstLineChars="200" w:firstLine="200"/>
    </w:pPr>
    <w:rPr>
      <w:rFonts w:ascii="Times New Roman" w:eastAsia="仿宋_GB2312" w:hAnsi="Times New Roman" w:cs="宋体"/>
      <w:sz w:val="28"/>
      <w:szCs w:val="20"/>
    </w:rPr>
  </w:style>
  <w:style w:type="paragraph" w:customStyle="1" w:styleId="22numberedparagraph">
    <w:name w:val="22 numbered paragraph"/>
    <w:basedOn w:val="a"/>
    <w:next w:val="a"/>
    <w:qFormat/>
    <w:pPr>
      <w:widowControl/>
      <w:tabs>
        <w:tab w:val="left" w:pos="360"/>
      </w:tabs>
      <w:spacing w:after="180"/>
      <w:jc w:val="left"/>
      <w:outlineLvl w:val="4"/>
    </w:pPr>
    <w:rPr>
      <w:rFonts w:ascii="Times New Roman" w:hAnsi="Times New Roman"/>
      <w:b/>
      <w:kern w:val="0"/>
      <w:sz w:val="26"/>
      <w:szCs w:val="20"/>
    </w:rPr>
  </w:style>
  <w:style w:type="paragraph" w:customStyle="1" w:styleId="affe">
    <w:name w:val="三级"/>
    <w:basedOn w:val="a"/>
    <w:qFormat/>
    <w:pPr>
      <w:tabs>
        <w:tab w:val="left" w:pos="1134"/>
      </w:tabs>
      <w:spacing w:line="360" w:lineRule="auto"/>
      <w:ind w:right="119" w:firstLine="300"/>
    </w:pPr>
    <w:rPr>
      <w:rFonts w:ascii="宋体" w:cs="宋体"/>
      <w:szCs w:val="20"/>
    </w:rPr>
  </w:style>
  <w:style w:type="paragraph" w:customStyle="1" w:styleId="ReturnAddress">
    <w:name w:val="Return Address"/>
    <w:basedOn w:val="a"/>
    <w:qFormat/>
    <w:pPr>
      <w:keepLines/>
      <w:framePr w:w="5040" w:hSpace="180" w:vSpace="180" w:wrap="notBeside" w:vAnchor="page" w:hAnchor="page" w:x="1801" w:y="961"/>
      <w:tabs>
        <w:tab w:val="left" w:pos="2640"/>
      </w:tabs>
      <w:autoSpaceDE w:val="0"/>
      <w:autoSpaceDN w:val="0"/>
      <w:adjustRightInd w:val="0"/>
      <w:spacing w:line="200" w:lineRule="atLeast"/>
      <w:jc w:val="left"/>
      <w:textAlignment w:val="baseline"/>
    </w:pPr>
    <w:rPr>
      <w:rFonts w:ascii="Arial" w:hAnsi="Arial"/>
      <w:spacing w:val="-2"/>
      <w:kern w:val="0"/>
      <w:sz w:val="16"/>
      <w:szCs w:val="20"/>
    </w:rPr>
  </w:style>
  <w:style w:type="paragraph" w:customStyle="1" w:styleId="CharCharCharChar">
    <w:name w:val="Char Char Char Char"/>
    <w:basedOn w:val="a"/>
    <w:qFormat/>
    <w:pPr>
      <w:widowControl/>
      <w:spacing w:after="160" w:line="240" w:lineRule="exact"/>
      <w:jc w:val="left"/>
    </w:pPr>
    <w:rPr>
      <w:rFonts w:ascii="Tahoma" w:hAnsi="Tahoma"/>
      <w:kern w:val="0"/>
      <w:sz w:val="20"/>
      <w:szCs w:val="20"/>
    </w:rPr>
  </w:style>
  <w:style w:type="paragraph" w:customStyle="1" w:styleId="TableParagraph">
    <w:name w:val="Table Paragraph"/>
    <w:basedOn w:val="a"/>
    <w:qFormat/>
    <w:pPr>
      <w:jc w:val="left"/>
    </w:pPr>
    <w:rPr>
      <w:kern w:val="0"/>
      <w:sz w:val="22"/>
    </w:rPr>
  </w:style>
  <w:style w:type="paragraph" w:customStyle="1" w:styleId="Heading21">
    <w:name w:val="Heading 21"/>
    <w:basedOn w:val="a"/>
    <w:qFormat/>
    <w:pPr>
      <w:spacing w:before="98"/>
      <w:ind w:left="876"/>
      <w:jc w:val="left"/>
      <w:outlineLvl w:val="2"/>
    </w:pPr>
    <w:rPr>
      <w:rFonts w:ascii="宋体"/>
      <w:kern w:val="0"/>
      <w:sz w:val="35"/>
      <w:szCs w:val="35"/>
    </w:rPr>
  </w:style>
  <w:style w:type="paragraph" w:customStyle="1" w:styleId="26">
    <w:name w:val="样式2"/>
    <w:basedOn w:val="4"/>
    <w:qFormat/>
    <w:pPr>
      <w:tabs>
        <w:tab w:val="left" w:pos="864"/>
      </w:tabs>
      <w:spacing w:before="0" w:after="0" w:line="360" w:lineRule="auto"/>
      <w:ind w:firstLineChars="200" w:firstLine="200"/>
    </w:pPr>
    <w:rPr>
      <w:rFonts w:ascii="Times New Roman" w:eastAsia="宋体" w:hAnsi="Times New Roman"/>
      <w:bCs/>
      <w:kern w:val="2"/>
      <w:sz w:val="21"/>
      <w:szCs w:val="21"/>
    </w:rPr>
  </w:style>
  <w:style w:type="paragraph" w:customStyle="1" w:styleId="TOC2">
    <w:name w:val="TOC 标题2"/>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Char0">
    <w:name w:val="Char"/>
    <w:basedOn w:val="a"/>
    <w:qFormat/>
    <w:pPr>
      <w:widowControl/>
      <w:spacing w:after="160" w:line="240" w:lineRule="exact"/>
      <w:jc w:val="left"/>
    </w:pPr>
    <w:rPr>
      <w:rFonts w:ascii="Verdana" w:eastAsia="仿宋_GB2312" w:hAnsi="Verdana"/>
      <w:kern w:val="0"/>
      <w:sz w:val="24"/>
      <w:szCs w:val="20"/>
    </w:rPr>
  </w:style>
  <w:style w:type="character" w:customStyle="1" w:styleId="font21">
    <w:name w:val="font21"/>
    <w:qFormat/>
    <w:rPr>
      <w:rFonts w:ascii="宋体" w:eastAsia="宋体" w:cs="宋体"/>
      <w:color w:val="000000"/>
      <w:sz w:val="18"/>
      <w:szCs w:val="18"/>
      <w:u w:val="none"/>
    </w:rPr>
  </w:style>
  <w:style w:type="paragraph" w:customStyle="1" w:styleId="Char16">
    <w:name w:val="Char1"/>
    <w:basedOn w:val="a"/>
    <w:qFormat/>
    <w:pPr>
      <w:widowControl/>
      <w:spacing w:after="160" w:line="240" w:lineRule="exact"/>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List 2" w:qFormat="1"/>
    <w:lsdException w:name="List 3" w:qFormat="1"/>
    <w:lsdException w:name="List 4" w:qFormat="1"/>
    <w:lsdException w:name="Title" w:qFormat="1"/>
    <w:lsdException w:name="Closing" w:qFormat="1"/>
    <w:lsdException w:name="Default Paragraph Font" w:qFormat="1"/>
    <w:lsdException w:name="Body Text" w:qFormat="1"/>
    <w:lsdException w:name="Body Text Indent" w:qFormat="1"/>
    <w:lsdException w:name="List Continue"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Preformatted" w:qFormat="1"/>
    <w:lsdException w:name="HTML Variable"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kern w:val="44"/>
      <w:sz w:val="44"/>
      <w:szCs w:val="20"/>
    </w:rPr>
  </w:style>
  <w:style w:type="paragraph" w:styleId="20">
    <w:name w:val="heading 2"/>
    <w:basedOn w:val="a"/>
    <w:next w:val="a"/>
    <w:qFormat/>
    <w:pPr>
      <w:keepNext/>
      <w:keepLines/>
      <w:spacing w:before="260" w:after="260" w:line="415" w:lineRule="auto"/>
      <w:outlineLvl w:val="1"/>
    </w:pPr>
    <w:rPr>
      <w:rFonts w:ascii="Arial" w:eastAsia="黑体" w:hAnsi="Arial"/>
      <w:b/>
      <w:kern w:val="0"/>
      <w:sz w:val="32"/>
      <w:szCs w:val="20"/>
      <w:lang w:val="zh-CN"/>
    </w:rPr>
  </w:style>
  <w:style w:type="paragraph" w:styleId="3">
    <w:name w:val="heading 3"/>
    <w:basedOn w:val="a"/>
    <w:next w:val="a"/>
    <w:qFormat/>
    <w:pPr>
      <w:keepNext/>
      <w:keepLines/>
      <w:spacing w:before="260" w:after="260" w:line="415" w:lineRule="auto"/>
      <w:outlineLvl w:val="2"/>
    </w:pPr>
    <w:rPr>
      <w:rFonts w:ascii="Times New Roman" w:hAnsi="Times New Roman"/>
      <w:b/>
      <w:kern w:val="0"/>
      <w:sz w:val="32"/>
      <w:szCs w:val="20"/>
    </w:rPr>
  </w:style>
  <w:style w:type="paragraph" w:styleId="4">
    <w:name w:val="heading 4"/>
    <w:basedOn w:val="a"/>
    <w:next w:val="a"/>
    <w:qFormat/>
    <w:pPr>
      <w:keepNext/>
      <w:keepLines/>
      <w:spacing w:before="280" w:after="290" w:line="377" w:lineRule="auto"/>
      <w:outlineLvl w:val="3"/>
    </w:pPr>
    <w:rPr>
      <w:rFonts w:ascii="Arial" w:eastAsia="黑体" w:hAnsi="Arial"/>
      <w:b/>
      <w:kern w:val="0"/>
      <w:sz w:val="28"/>
      <w:szCs w:val="20"/>
    </w:rPr>
  </w:style>
  <w:style w:type="paragraph" w:styleId="5">
    <w:name w:val="heading 5"/>
    <w:basedOn w:val="a"/>
    <w:next w:val="a"/>
    <w:qFormat/>
    <w:pPr>
      <w:keepNext/>
      <w:keepLines/>
      <w:tabs>
        <w:tab w:val="left" w:pos="1008"/>
      </w:tabs>
      <w:spacing w:before="280" w:after="290" w:line="377" w:lineRule="auto"/>
      <w:ind w:left="1008" w:hanging="1008"/>
      <w:outlineLvl w:val="4"/>
    </w:pPr>
    <w:rPr>
      <w:rFonts w:ascii="宋体"/>
      <w:b/>
      <w:bCs/>
      <w:kern w:val="0"/>
      <w:sz w:val="28"/>
      <w:szCs w:val="28"/>
    </w:rPr>
  </w:style>
  <w:style w:type="paragraph" w:styleId="6">
    <w:name w:val="heading 6"/>
    <w:basedOn w:val="a"/>
    <w:next w:val="a"/>
    <w:qFormat/>
    <w:pPr>
      <w:keepNext/>
      <w:keepLines/>
      <w:tabs>
        <w:tab w:val="left" w:pos="1152"/>
      </w:tabs>
      <w:spacing w:before="240" w:after="64" w:line="319" w:lineRule="auto"/>
      <w:ind w:left="1152" w:hanging="1152"/>
      <w:outlineLvl w:val="5"/>
    </w:pPr>
    <w:rPr>
      <w:rFonts w:ascii="Cambria" w:hAnsi="Cambria"/>
      <w:b/>
      <w:bCs/>
      <w:kern w:val="0"/>
      <w:sz w:val="24"/>
      <w:szCs w:val="24"/>
    </w:rPr>
  </w:style>
  <w:style w:type="paragraph" w:styleId="7">
    <w:name w:val="heading 7"/>
    <w:basedOn w:val="a"/>
    <w:next w:val="a"/>
    <w:qFormat/>
    <w:pPr>
      <w:keepNext/>
      <w:keepLines/>
      <w:tabs>
        <w:tab w:val="left" w:pos="1296"/>
      </w:tabs>
      <w:spacing w:before="240" w:after="64" w:line="319" w:lineRule="auto"/>
      <w:ind w:left="1296" w:hanging="1296"/>
      <w:outlineLvl w:val="6"/>
    </w:pPr>
    <w:rPr>
      <w:rFonts w:ascii="宋体"/>
      <w:b/>
      <w:bCs/>
      <w:kern w:val="0"/>
      <w:sz w:val="24"/>
      <w:szCs w:val="24"/>
    </w:rPr>
  </w:style>
  <w:style w:type="paragraph" w:styleId="8">
    <w:name w:val="heading 8"/>
    <w:basedOn w:val="a"/>
    <w:next w:val="a"/>
    <w:qFormat/>
    <w:pPr>
      <w:keepNext/>
      <w:keepLines/>
      <w:tabs>
        <w:tab w:val="left" w:pos="1440"/>
      </w:tabs>
      <w:spacing w:before="240" w:after="64" w:line="319" w:lineRule="auto"/>
      <w:ind w:left="1440" w:hanging="1440"/>
      <w:outlineLvl w:val="7"/>
    </w:pPr>
    <w:rPr>
      <w:rFonts w:ascii="Cambria" w:hAnsi="Cambria"/>
      <w:kern w:val="0"/>
      <w:sz w:val="24"/>
      <w:szCs w:val="24"/>
    </w:rPr>
  </w:style>
  <w:style w:type="paragraph" w:styleId="9">
    <w:name w:val="heading 9"/>
    <w:basedOn w:val="a"/>
    <w:next w:val="a"/>
    <w:qFormat/>
    <w:pPr>
      <w:keepNext/>
      <w:keepLines/>
      <w:tabs>
        <w:tab w:val="left" w:pos="1584"/>
      </w:tabs>
      <w:spacing w:before="240" w:after="64" w:line="319" w:lineRule="auto"/>
      <w:ind w:left="1584" w:hanging="1584"/>
      <w:outlineLvl w:val="8"/>
    </w:pPr>
    <w:rPr>
      <w:rFonts w:ascii="Cambria"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200"/>
    </w:pPr>
  </w:style>
  <w:style w:type="paragraph" w:styleId="a3">
    <w:name w:val="Body Text Indent"/>
    <w:basedOn w:val="a"/>
    <w:next w:val="a4"/>
    <w:qFormat/>
    <w:pPr>
      <w:ind w:firstLineChars="257" w:firstLine="257"/>
    </w:pPr>
    <w:rPr>
      <w:rFonts w:ascii="Times New Roman" w:hAnsi="Times New Roman"/>
      <w:kern w:val="0"/>
      <w:sz w:val="24"/>
      <w:szCs w:val="20"/>
      <w:lang w:val="zh-CN"/>
    </w:rPr>
  </w:style>
  <w:style w:type="paragraph" w:styleId="a4">
    <w:name w:val="Body Text"/>
    <w:basedOn w:val="a"/>
    <w:next w:val="a5"/>
    <w:qFormat/>
    <w:pPr>
      <w:spacing w:after="120"/>
    </w:pPr>
    <w:rPr>
      <w:sz w:val="22"/>
    </w:rPr>
  </w:style>
  <w:style w:type="paragraph" w:styleId="a5">
    <w:name w:val="Body Text First Indent"/>
    <w:basedOn w:val="a4"/>
    <w:qFormat/>
    <w:pPr>
      <w:spacing w:beforeLines="50" w:before="50" w:afterLines="50" w:after="50"/>
      <w:ind w:firstLineChars="100" w:firstLine="100"/>
    </w:pPr>
    <w:rPr>
      <w:sz w:val="32"/>
      <w:lang w:val="zh-CN"/>
    </w:rPr>
  </w:style>
  <w:style w:type="paragraph" w:styleId="30">
    <w:name w:val="List 3"/>
    <w:basedOn w:val="a"/>
    <w:qFormat/>
    <w:pPr>
      <w:ind w:leftChars="400" w:left="600" w:hangingChars="200" w:hanging="200"/>
      <w:contextualSpacing/>
    </w:pPr>
    <w:rPr>
      <w:rFonts w:ascii="宋体"/>
      <w:sz w:val="24"/>
      <w:szCs w:val="24"/>
    </w:rPr>
  </w:style>
  <w:style w:type="paragraph" w:styleId="70">
    <w:name w:val="toc 7"/>
    <w:basedOn w:val="a"/>
    <w:next w:val="a"/>
    <w:qFormat/>
    <w:pPr>
      <w:ind w:left="1440"/>
      <w:jc w:val="left"/>
    </w:pPr>
    <w:rPr>
      <w:sz w:val="18"/>
      <w:szCs w:val="18"/>
    </w:rPr>
  </w:style>
  <w:style w:type="paragraph" w:styleId="a6">
    <w:name w:val="Document Map"/>
    <w:basedOn w:val="a"/>
    <w:qFormat/>
    <w:rPr>
      <w:rFonts w:ascii="宋体"/>
      <w:sz w:val="18"/>
      <w:szCs w:val="18"/>
    </w:rPr>
  </w:style>
  <w:style w:type="paragraph" w:styleId="a7">
    <w:name w:val="annotation text"/>
    <w:basedOn w:val="a"/>
    <w:qFormat/>
    <w:pPr>
      <w:jc w:val="left"/>
    </w:pPr>
  </w:style>
  <w:style w:type="paragraph" w:styleId="a8">
    <w:name w:val="Salutation"/>
    <w:basedOn w:val="a"/>
    <w:next w:val="a"/>
    <w:qFormat/>
    <w:rPr>
      <w:rFonts w:ascii="仿宋_GB2312" w:eastAsia="仿宋_GB2312"/>
      <w:szCs w:val="21"/>
    </w:rPr>
  </w:style>
  <w:style w:type="paragraph" w:styleId="a9">
    <w:name w:val="Closing"/>
    <w:basedOn w:val="a"/>
    <w:qFormat/>
    <w:pPr>
      <w:ind w:leftChars="2100" w:left="2100"/>
    </w:pPr>
    <w:rPr>
      <w:rFonts w:ascii="仿宋_GB2312" w:eastAsia="仿宋_GB2312"/>
      <w:szCs w:val="21"/>
    </w:rPr>
  </w:style>
  <w:style w:type="paragraph" w:styleId="21">
    <w:name w:val="List 2"/>
    <w:basedOn w:val="a"/>
    <w:qFormat/>
    <w:pPr>
      <w:ind w:leftChars="200" w:left="400" w:hangingChars="200" w:hanging="200"/>
      <w:contextualSpacing/>
    </w:pPr>
    <w:rPr>
      <w:rFonts w:ascii="宋体"/>
      <w:sz w:val="24"/>
      <w:szCs w:val="24"/>
    </w:rPr>
  </w:style>
  <w:style w:type="paragraph" w:styleId="aa">
    <w:name w:val="List Continue"/>
    <w:basedOn w:val="a"/>
    <w:qFormat/>
    <w:pPr>
      <w:spacing w:after="120"/>
      <w:ind w:leftChars="200" w:left="200"/>
      <w:contextualSpacing/>
    </w:pPr>
    <w:rPr>
      <w:rFonts w:ascii="宋体"/>
      <w:sz w:val="24"/>
      <w:szCs w:val="24"/>
    </w:rPr>
  </w:style>
  <w:style w:type="paragraph" w:styleId="50">
    <w:name w:val="toc 5"/>
    <w:basedOn w:val="a"/>
    <w:next w:val="a"/>
    <w:qFormat/>
    <w:pPr>
      <w:ind w:left="960"/>
      <w:jc w:val="left"/>
    </w:pPr>
    <w:rPr>
      <w:sz w:val="18"/>
      <w:szCs w:val="18"/>
    </w:rPr>
  </w:style>
  <w:style w:type="paragraph" w:styleId="31">
    <w:name w:val="toc 3"/>
    <w:basedOn w:val="a"/>
    <w:next w:val="a"/>
    <w:qFormat/>
    <w:pPr>
      <w:ind w:leftChars="400" w:left="400"/>
    </w:pPr>
  </w:style>
  <w:style w:type="paragraph" w:styleId="ab">
    <w:name w:val="Plain Text"/>
    <w:basedOn w:val="a"/>
    <w:qFormat/>
    <w:pPr>
      <w:widowControl/>
      <w:tabs>
        <w:tab w:val="left" w:pos="0"/>
        <w:tab w:val="left" w:pos="567"/>
      </w:tabs>
      <w:adjustRightInd w:val="0"/>
      <w:spacing w:line="360" w:lineRule="auto"/>
      <w:ind w:firstLine="567"/>
    </w:pPr>
    <w:rPr>
      <w:rFonts w:ascii="宋体"/>
      <w:szCs w:val="24"/>
    </w:rPr>
  </w:style>
  <w:style w:type="paragraph" w:styleId="80">
    <w:name w:val="toc 8"/>
    <w:basedOn w:val="a"/>
    <w:next w:val="a"/>
    <w:qFormat/>
    <w:pPr>
      <w:ind w:left="1680"/>
      <w:jc w:val="left"/>
    </w:pPr>
    <w:rPr>
      <w:sz w:val="18"/>
      <w:szCs w:val="18"/>
    </w:rPr>
  </w:style>
  <w:style w:type="paragraph" w:styleId="ac">
    <w:name w:val="Date"/>
    <w:basedOn w:val="a"/>
    <w:next w:val="a"/>
    <w:qFormat/>
    <w:pPr>
      <w:ind w:leftChars="2500" w:left="2500"/>
    </w:pPr>
    <w:rPr>
      <w:rFonts w:ascii="Times New Roman" w:hAnsi="Times New Roman"/>
      <w:sz w:val="24"/>
      <w:szCs w:val="24"/>
    </w:rPr>
  </w:style>
  <w:style w:type="paragraph" w:styleId="22">
    <w:name w:val="Body Text Indent 2"/>
    <w:basedOn w:val="a"/>
    <w:qFormat/>
    <w:pPr>
      <w:ind w:firstLineChars="200" w:firstLine="200"/>
    </w:pPr>
    <w:rPr>
      <w:rFonts w:ascii="仿宋_GB2312" w:eastAsia="仿宋_GB2312"/>
      <w:kern w:val="0"/>
      <w:sz w:val="18"/>
      <w:szCs w:val="20"/>
    </w:rPr>
  </w:style>
  <w:style w:type="paragraph" w:styleId="ad">
    <w:name w:val="Balloon Text"/>
    <w:basedOn w:val="a"/>
    <w:qFormat/>
    <w:rPr>
      <w:rFonts w:ascii="Times New Roman" w:hAnsi="Times New Roman"/>
      <w:kern w:val="0"/>
      <w:sz w:val="18"/>
      <w:szCs w:val="20"/>
    </w:rPr>
  </w:style>
  <w:style w:type="paragraph" w:styleId="ae">
    <w:name w:val="footer"/>
    <w:basedOn w:val="a"/>
    <w:next w:val="2"/>
    <w:qFormat/>
    <w:pPr>
      <w:tabs>
        <w:tab w:val="center" w:pos="4153"/>
        <w:tab w:val="right" w:pos="8306"/>
      </w:tabs>
      <w:snapToGrid w:val="0"/>
      <w:jc w:val="left"/>
    </w:pPr>
    <w:rPr>
      <w:rFonts w:ascii="Times New Roman" w:hAnsi="Times New Roman"/>
      <w:kern w:val="0"/>
      <w:sz w:val="18"/>
      <w:szCs w:val="20"/>
    </w:rPr>
  </w:style>
  <w:style w:type="paragraph" w:styleId="af">
    <w:name w:val="header"/>
    <w:basedOn w:val="a"/>
    <w:qFormat/>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10">
    <w:name w:val="toc 1"/>
    <w:basedOn w:val="a"/>
    <w:next w:val="a"/>
    <w:qFormat/>
    <w:pPr>
      <w:tabs>
        <w:tab w:val="right" w:leader="dot" w:pos="9288"/>
      </w:tabs>
    </w:pPr>
  </w:style>
  <w:style w:type="paragraph" w:styleId="40">
    <w:name w:val="toc 4"/>
    <w:basedOn w:val="a"/>
    <w:next w:val="a"/>
    <w:qFormat/>
    <w:pPr>
      <w:ind w:left="720"/>
      <w:jc w:val="left"/>
    </w:pPr>
    <w:rPr>
      <w:sz w:val="18"/>
      <w:szCs w:val="18"/>
    </w:rPr>
  </w:style>
  <w:style w:type="paragraph" w:styleId="af0">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f1">
    <w:name w:val="List"/>
    <w:basedOn w:val="a"/>
    <w:qFormat/>
    <w:pPr>
      <w:tabs>
        <w:tab w:val="left" w:pos="1440"/>
      </w:tabs>
      <w:spacing w:line="500" w:lineRule="exact"/>
      <w:ind w:left="-207" w:firstLine="567"/>
    </w:pPr>
    <w:rPr>
      <w:rFonts w:ascii="Times New Roman" w:hAnsi="Times New Roman"/>
      <w:color w:val="000000"/>
      <w:sz w:val="24"/>
      <w:szCs w:val="24"/>
    </w:rPr>
  </w:style>
  <w:style w:type="paragraph" w:styleId="60">
    <w:name w:val="toc 6"/>
    <w:basedOn w:val="a"/>
    <w:next w:val="a"/>
    <w:qFormat/>
    <w:pPr>
      <w:ind w:left="1200"/>
      <w:jc w:val="left"/>
    </w:pPr>
    <w:rPr>
      <w:sz w:val="18"/>
      <w:szCs w:val="18"/>
    </w:rPr>
  </w:style>
  <w:style w:type="paragraph" w:styleId="32">
    <w:name w:val="Body Text Indent 3"/>
    <w:basedOn w:val="a"/>
    <w:qFormat/>
    <w:pPr>
      <w:spacing w:after="120"/>
      <w:ind w:leftChars="200" w:left="200"/>
    </w:pPr>
    <w:rPr>
      <w:rFonts w:ascii="宋体"/>
      <w:sz w:val="16"/>
      <w:szCs w:val="16"/>
    </w:rPr>
  </w:style>
  <w:style w:type="paragraph" w:styleId="23">
    <w:name w:val="toc 2"/>
    <w:basedOn w:val="a"/>
    <w:next w:val="a"/>
    <w:qFormat/>
    <w:pPr>
      <w:tabs>
        <w:tab w:val="right" w:leader="dot" w:pos="9288"/>
      </w:tabs>
      <w:jc w:val="left"/>
    </w:pPr>
  </w:style>
  <w:style w:type="paragraph" w:styleId="90">
    <w:name w:val="toc 9"/>
    <w:basedOn w:val="a"/>
    <w:next w:val="a"/>
    <w:qFormat/>
    <w:pPr>
      <w:ind w:left="1920"/>
      <w:jc w:val="left"/>
    </w:pPr>
    <w:rPr>
      <w:sz w:val="18"/>
      <w:szCs w:val="18"/>
    </w:rPr>
  </w:style>
  <w:style w:type="paragraph" w:styleId="41">
    <w:name w:val="List 4"/>
    <w:basedOn w:val="a"/>
    <w:qFormat/>
    <w:pPr>
      <w:ind w:leftChars="600" w:left="800" w:hangingChars="200" w:hanging="200"/>
      <w:contextualSpacing/>
    </w:pPr>
    <w:rPr>
      <w:rFonts w:ascii="宋体"/>
      <w:sz w:val="24"/>
      <w:szCs w:val="24"/>
    </w:rPr>
  </w:style>
  <w:style w:type="paragraph" w:styleId="af2">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kern w:val="0"/>
      <w:sz w:val="24"/>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af3">
    <w:name w:val="Normal (Web)"/>
    <w:basedOn w:val="a"/>
    <w:qFormat/>
    <w:pPr>
      <w:widowControl/>
      <w:spacing w:before="100" w:beforeAutospacing="1" w:after="100" w:afterAutospacing="1"/>
      <w:jc w:val="left"/>
    </w:pPr>
    <w:rPr>
      <w:rFonts w:ascii="宋体" w:cs="宋体"/>
      <w:kern w:val="0"/>
      <w:sz w:val="24"/>
      <w:szCs w:val="24"/>
    </w:rPr>
  </w:style>
  <w:style w:type="paragraph" w:styleId="af4">
    <w:name w:val="Title"/>
    <w:basedOn w:val="a"/>
    <w:next w:val="a"/>
    <w:qFormat/>
    <w:pPr>
      <w:spacing w:before="240" w:after="60"/>
      <w:jc w:val="center"/>
      <w:outlineLvl w:val="0"/>
    </w:pPr>
    <w:rPr>
      <w:rFonts w:ascii="Cambria" w:hAnsi="Cambria"/>
      <w:b/>
      <w:bCs/>
      <w:sz w:val="32"/>
      <w:szCs w:val="32"/>
    </w:rPr>
  </w:style>
  <w:style w:type="paragraph" w:styleId="af5">
    <w:name w:val="annotation subject"/>
    <w:basedOn w:val="a7"/>
    <w:next w:val="a7"/>
    <w:qFormat/>
    <w:rPr>
      <w:b/>
      <w:bCs/>
    </w:rPr>
  </w:style>
  <w:style w:type="character" w:styleId="af6">
    <w:name w:val="Strong"/>
    <w:qFormat/>
    <w:rPr>
      <w:rFonts w:cs="Times New Roman"/>
      <w:b/>
    </w:rPr>
  </w:style>
  <w:style w:type="character" w:styleId="af7">
    <w:name w:val="page number"/>
    <w:qFormat/>
    <w:rPr>
      <w:rFonts w:cs="Times New Roman"/>
    </w:rPr>
  </w:style>
  <w:style w:type="character" w:styleId="af8">
    <w:name w:val="FollowedHyperlink"/>
    <w:qFormat/>
    <w:rPr>
      <w:color w:val="800080"/>
      <w:u w:val="single"/>
    </w:rPr>
  </w:style>
  <w:style w:type="character" w:styleId="af9">
    <w:name w:val="Emphasis"/>
    <w:qFormat/>
    <w:rPr>
      <w:i/>
    </w:rPr>
  </w:style>
  <w:style w:type="character" w:styleId="HTML0">
    <w:name w:val="HTML Definition"/>
    <w:qFormat/>
    <w:rPr>
      <w:i/>
    </w:rPr>
  </w:style>
  <w:style w:type="character" w:styleId="HTML1">
    <w:name w:val="HTML Acronym"/>
    <w:qFormat/>
  </w:style>
  <w:style w:type="character" w:styleId="HTML2">
    <w:name w:val="HTML Variable"/>
    <w:qFormat/>
    <w:rPr>
      <w:i/>
    </w:rPr>
  </w:style>
  <w:style w:type="character" w:styleId="afa">
    <w:name w:val="Hyperlink"/>
    <w:qFormat/>
    <w:rPr>
      <w:rFonts w:cs="Times New Roman"/>
      <w:color w:val="0000FF"/>
      <w:u w:val="single"/>
    </w:rPr>
  </w:style>
  <w:style w:type="character" w:styleId="HTML3">
    <w:name w:val="HTML Code"/>
    <w:qFormat/>
    <w:rPr>
      <w:rFonts w:ascii="Courier New" w:hAnsi="Courier New"/>
      <w:sz w:val="20"/>
    </w:rPr>
  </w:style>
  <w:style w:type="character" w:styleId="afb">
    <w:name w:val="annotation reference"/>
    <w:qFormat/>
    <w:rPr>
      <w:rFonts w:cs="Times New Roman"/>
      <w:sz w:val="21"/>
      <w:szCs w:val="21"/>
    </w:rPr>
  </w:style>
  <w:style w:type="character" w:styleId="HTML4">
    <w:name w:val="HTML Cite"/>
    <w:qFormat/>
    <w:rPr>
      <w:i/>
    </w:rPr>
  </w:style>
  <w:style w:type="character" w:customStyle="1" w:styleId="Heading2Char">
    <w:name w:val="Heading 2 Char"/>
    <w:qFormat/>
    <w:rPr>
      <w:rFonts w:ascii="Cambria" w:eastAsia="宋体" w:hAnsi="Cambria" w:cs="Times New Roman"/>
      <w:b/>
      <w:sz w:val="32"/>
    </w:rPr>
  </w:style>
  <w:style w:type="paragraph" w:customStyle="1" w:styleId="ListParagraph1">
    <w:name w:val="List Paragraph1"/>
    <w:basedOn w:val="a"/>
    <w:qFormat/>
    <w:pPr>
      <w:ind w:firstLineChars="200" w:firstLine="200"/>
    </w:p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fc">
    <w:name w:val="表格文字"/>
    <w:basedOn w:val="a"/>
    <w:qFormat/>
    <w:pPr>
      <w:spacing w:line="300" w:lineRule="auto"/>
    </w:pPr>
    <w:rPr>
      <w:rFonts w:ascii="Times New Roman" w:hAnsi="Times New Roman"/>
      <w:spacing w:val="10"/>
      <w:szCs w:val="24"/>
    </w:rPr>
  </w:style>
  <w:style w:type="paragraph" w:customStyle="1" w:styleId="11">
    <w:name w:val="列出段落1"/>
    <w:basedOn w:val="a"/>
    <w:qFormat/>
    <w:pPr>
      <w:ind w:firstLineChars="200" w:firstLine="200"/>
    </w:pPr>
  </w:style>
  <w:style w:type="paragraph" w:customStyle="1" w:styleId="ListParagraph11">
    <w:name w:val="List Paragraph11"/>
    <w:basedOn w:val="a"/>
    <w:qFormat/>
    <w:pPr>
      <w:ind w:firstLineChars="200" w:firstLine="200"/>
    </w:pPr>
  </w:style>
  <w:style w:type="character" w:customStyle="1" w:styleId="ca-21">
    <w:name w:val="ca-21"/>
    <w:qFormat/>
    <w:rPr>
      <w:rFonts w:ascii="仿宋_GB2312" w:eastAsia="仿宋_GB2312"/>
      <w:sz w:val="32"/>
    </w:rPr>
  </w:style>
  <w:style w:type="paragraph" w:customStyle="1" w:styleId="a00">
    <w:name w:val="a0"/>
    <w:basedOn w:val="a"/>
    <w:qFormat/>
    <w:pPr>
      <w:widowControl/>
      <w:spacing w:before="100" w:beforeAutospacing="1" w:after="100" w:afterAutospacing="1"/>
      <w:jc w:val="left"/>
    </w:pPr>
    <w:rPr>
      <w:rFonts w:ascii="宋体" w:cs="宋体"/>
      <w:kern w:val="0"/>
      <w:sz w:val="24"/>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6">
    <w:name w:val="reader-word-layer reader-word-s2-6"/>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2">
    <w:name w:val="reader-word-layer reader-word-s2-2"/>
    <w:basedOn w:val="a"/>
    <w:qFormat/>
    <w:pPr>
      <w:widowControl/>
      <w:spacing w:before="100" w:beforeAutospacing="1" w:after="100" w:afterAutospacing="1"/>
      <w:jc w:val="left"/>
    </w:pPr>
    <w:rPr>
      <w:rFonts w:ascii="宋体" w:cs="宋体"/>
      <w:kern w:val="0"/>
      <w:sz w:val="24"/>
      <w:szCs w:val="24"/>
    </w:rPr>
  </w:style>
  <w:style w:type="paragraph" w:customStyle="1" w:styleId="reader-word-layerreader-word-s2-1">
    <w:name w:val="reader-word-layer reader-word-s2-1"/>
    <w:basedOn w:val="a"/>
    <w:qFormat/>
    <w:pPr>
      <w:widowControl/>
      <w:spacing w:before="100" w:beforeAutospacing="1" w:after="100" w:afterAutospacing="1"/>
      <w:jc w:val="left"/>
    </w:pPr>
    <w:rPr>
      <w:rFonts w:ascii="宋体" w:cs="宋体"/>
      <w:kern w:val="0"/>
      <w:sz w:val="24"/>
      <w:szCs w:val="24"/>
    </w:rPr>
  </w:style>
  <w:style w:type="character" w:customStyle="1" w:styleId="font1">
    <w:name w:val="font1"/>
    <w:qFormat/>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4">
    <w:name w:val="列出段落2"/>
    <w:basedOn w:val="a"/>
    <w:qFormat/>
    <w:pPr>
      <w:ind w:firstLineChars="200" w:firstLine="200"/>
    </w:pPr>
  </w:style>
  <w:style w:type="character" w:customStyle="1" w:styleId="font41">
    <w:name w:val="font41"/>
    <w:qFormat/>
    <w:rPr>
      <w:rFonts w:ascii="宋体" w:eastAsia="宋体"/>
      <w:color w:val="000000"/>
      <w:sz w:val="20"/>
      <w:u w:val="none"/>
    </w:rPr>
  </w:style>
  <w:style w:type="character" w:customStyle="1" w:styleId="font81">
    <w:name w:val="font81"/>
    <w:qFormat/>
    <w:rPr>
      <w:rFonts w:ascii="宋体" w:eastAsia="宋体"/>
      <w:color w:val="000000"/>
      <w:sz w:val="20"/>
      <w:u w:val="none"/>
    </w:rPr>
  </w:style>
  <w:style w:type="paragraph" w:customStyle="1" w:styleId="zw">
    <w:name w:val="zw"/>
    <w:basedOn w:val="a"/>
    <w:qFormat/>
    <w:pPr>
      <w:widowControl/>
      <w:spacing w:before="100" w:beforeAutospacing="1" w:after="100" w:afterAutospacing="1"/>
      <w:jc w:val="left"/>
    </w:pPr>
    <w:rPr>
      <w:rFonts w:ascii="宋体" w:cs="宋体"/>
      <w:kern w:val="0"/>
      <w:sz w:val="24"/>
    </w:rPr>
  </w:style>
  <w:style w:type="paragraph" w:customStyle="1" w:styleId="33">
    <w:name w:val="列出段落3"/>
    <w:basedOn w:val="a"/>
    <w:qFormat/>
    <w:pPr>
      <w:ind w:firstLineChars="200" w:firstLine="200"/>
    </w:pPr>
  </w:style>
  <w:style w:type="paragraph" w:customStyle="1" w:styleId="310">
    <w:name w:val="列出段落31"/>
    <w:basedOn w:val="a"/>
    <w:qFormat/>
    <w:pPr>
      <w:ind w:firstLineChars="200" w:firstLine="200"/>
    </w:pPr>
  </w:style>
  <w:style w:type="character" w:customStyle="1" w:styleId="ht1">
    <w:name w:val="ht1"/>
    <w:qFormat/>
  </w:style>
  <w:style w:type="paragraph" w:customStyle="1" w:styleId="xb">
    <w:name w:val="xb"/>
    <w:basedOn w:val="a"/>
    <w:qFormat/>
    <w:pPr>
      <w:widowControl/>
      <w:spacing w:before="100" w:beforeAutospacing="1" w:after="100" w:afterAutospacing="1"/>
      <w:jc w:val="left"/>
    </w:pPr>
    <w:rPr>
      <w:rFonts w:ascii="宋体" w:cs="宋体"/>
      <w:kern w:val="0"/>
      <w:sz w:val="24"/>
    </w:rPr>
  </w:style>
  <w:style w:type="paragraph" w:styleId="afd">
    <w:name w:val="List Paragraph"/>
    <w:basedOn w:val="a"/>
    <w:qFormat/>
    <w:pPr>
      <w:ind w:firstLineChars="200" w:firstLine="200"/>
    </w:pPr>
  </w:style>
  <w:style w:type="paragraph" w:customStyle="1" w:styleId="42">
    <w:name w:val="列出段落4"/>
    <w:basedOn w:val="a"/>
    <w:qFormat/>
    <w:pPr>
      <w:spacing w:line="360" w:lineRule="auto"/>
      <w:ind w:firstLineChars="200" w:firstLine="200"/>
    </w:pPr>
  </w:style>
  <w:style w:type="character" w:customStyle="1" w:styleId="CharChar11">
    <w:name w:val="Char Char11"/>
    <w:qFormat/>
    <w:rPr>
      <w:rFonts w:ascii="Arial" w:eastAsia="黑体" w:hAnsi="Arial"/>
      <w:b/>
      <w:sz w:val="32"/>
      <w:lang w:val="zh-CN" w:eastAsia="zh-CN"/>
    </w:rPr>
  </w:style>
  <w:style w:type="paragraph" w:styleId="afe">
    <w:name w:val="No Spacing"/>
    <w:qFormat/>
    <w:pPr>
      <w:adjustRightInd w:val="0"/>
      <w:snapToGrid w:val="0"/>
    </w:pPr>
    <w:rPr>
      <w:rFonts w:ascii="Tahoma" w:eastAsia="微软雅黑" w:hAnsi="Tahoma"/>
      <w:sz w:val="22"/>
      <w:szCs w:val="22"/>
    </w:rPr>
  </w:style>
  <w:style w:type="character" w:customStyle="1" w:styleId="6Char1">
    <w:name w:val="标题 6 Char1"/>
    <w:qFormat/>
    <w:rPr>
      <w:rFonts w:ascii="Cambria" w:hAnsi="Cambria"/>
      <w:b/>
      <w:bCs/>
      <w:kern w:val="2"/>
      <w:sz w:val="24"/>
      <w:szCs w:val="24"/>
    </w:rPr>
  </w:style>
  <w:style w:type="character" w:customStyle="1" w:styleId="aff">
    <w:name w:val="批注文字 字符"/>
    <w:qFormat/>
    <w:rPr>
      <w:rFonts w:ascii="Futura Bk" w:hAnsi="Futura Bk"/>
      <w:sz w:val="24"/>
      <w:lang w:val="en-GB"/>
    </w:rPr>
  </w:style>
  <w:style w:type="character" w:customStyle="1" w:styleId="8Char1">
    <w:name w:val="标题 8 Char1"/>
    <w:qFormat/>
    <w:rPr>
      <w:rFonts w:ascii="Cambria" w:hAnsi="Cambria"/>
      <w:kern w:val="2"/>
      <w:sz w:val="24"/>
      <w:szCs w:val="24"/>
    </w:rPr>
  </w:style>
  <w:style w:type="character" w:customStyle="1" w:styleId="aff0">
    <w:name w:val="标题 字符"/>
    <w:qFormat/>
    <w:rPr>
      <w:rFonts w:ascii="Calibri Light" w:hAnsi="Calibri Light"/>
      <w:b/>
      <w:bCs/>
      <w:kern w:val="2"/>
      <w:sz w:val="32"/>
      <w:szCs w:val="32"/>
    </w:rPr>
  </w:style>
  <w:style w:type="character" w:customStyle="1" w:styleId="Char1">
    <w:name w:val="批注文字 Char1"/>
    <w:qFormat/>
    <w:rPr>
      <w:rFonts w:ascii="宋体"/>
      <w:kern w:val="2"/>
      <w:sz w:val="24"/>
      <w:szCs w:val="24"/>
    </w:rPr>
  </w:style>
  <w:style w:type="character" w:customStyle="1" w:styleId="9Char1">
    <w:name w:val="标题 9 Char1"/>
    <w:qFormat/>
    <w:rPr>
      <w:rFonts w:ascii="Cambria" w:hAnsi="Cambria"/>
      <w:kern w:val="2"/>
      <w:sz w:val="21"/>
      <w:szCs w:val="21"/>
    </w:rPr>
  </w:style>
  <w:style w:type="character" w:customStyle="1" w:styleId="HTMLChar1">
    <w:name w:val="HTML 预设格式 Char1"/>
    <w:qFormat/>
    <w:rPr>
      <w:rFonts w:ascii="宋体" w:cs="宋体"/>
      <w:sz w:val="24"/>
      <w:szCs w:val="24"/>
    </w:rPr>
  </w:style>
  <w:style w:type="character" w:customStyle="1" w:styleId="7Char1">
    <w:name w:val="标题 7 Char1"/>
    <w:qFormat/>
    <w:rPr>
      <w:b/>
      <w:bCs/>
      <w:kern w:val="2"/>
      <w:sz w:val="24"/>
      <w:szCs w:val="24"/>
    </w:rPr>
  </w:style>
  <w:style w:type="character" w:customStyle="1" w:styleId="aff1">
    <w:name w:val="批注主题 字符"/>
    <w:qFormat/>
    <w:rPr>
      <w:rFonts w:ascii="Futura Bk" w:hAnsi="Futura Bk"/>
      <w:b/>
      <w:bCs/>
      <w:sz w:val="24"/>
      <w:lang w:val="en-GB"/>
    </w:rPr>
  </w:style>
  <w:style w:type="character" w:customStyle="1" w:styleId="Char10">
    <w:name w:val="信息标题 Char1"/>
    <w:qFormat/>
    <w:rPr>
      <w:rFonts w:ascii="Cambria" w:hAnsi="Cambria"/>
      <w:sz w:val="24"/>
      <w:szCs w:val="24"/>
      <w:shd w:val="pct20" w:color="auto" w:fill="auto"/>
    </w:rPr>
  </w:style>
  <w:style w:type="character" w:customStyle="1" w:styleId="12">
    <w:name w:val="标题 1 字符"/>
    <w:qFormat/>
    <w:rPr>
      <w:b/>
      <w:bCs/>
      <w:kern w:val="44"/>
      <w:sz w:val="32"/>
      <w:szCs w:val="44"/>
      <w:lang w:val="en-GB"/>
    </w:rPr>
  </w:style>
  <w:style w:type="character" w:customStyle="1" w:styleId="CharChar8">
    <w:name w:val="Char Char8"/>
    <w:qFormat/>
    <w:rPr>
      <w:rFonts w:ascii="Calibri" w:eastAsia="宋体" w:hAnsi="Calibri"/>
      <w:b/>
      <w:bCs/>
      <w:kern w:val="44"/>
      <w:sz w:val="44"/>
      <w:szCs w:val="44"/>
      <w:lang w:val="en-US" w:eastAsia="zh-CN" w:bidi="ar-SA"/>
    </w:rPr>
  </w:style>
  <w:style w:type="paragraph" w:customStyle="1" w:styleId="13">
    <w:name w:val="表格正文1"/>
    <w:basedOn w:val="a"/>
    <w:qFormat/>
    <w:rPr>
      <w:rFonts w:ascii="Times New Roman" w:hAnsi="Times New Roman"/>
      <w:szCs w:val="20"/>
    </w:rPr>
  </w:style>
  <w:style w:type="character" w:customStyle="1" w:styleId="5Char1">
    <w:name w:val="标题 5 Char1"/>
    <w:qFormat/>
    <w:rPr>
      <w:b/>
      <w:bCs/>
      <w:kern w:val="2"/>
      <w:sz w:val="28"/>
      <w:szCs w:val="28"/>
    </w:rPr>
  </w:style>
  <w:style w:type="paragraph" w:customStyle="1" w:styleId="aff2">
    <w:name w:val="一级"/>
    <w:basedOn w:val="a"/>
    <w:qFormat/>
    <w:pPr>
      <w:tabs>
        <w:tab w:val="left" w:pos="1276"/>
      </w:tabs>
      <w:spacing w:line="360" w:lineRule="auto"/>
      <w:ind w:firstLine="300"/>
    </w:pPr>
    <w:rPr>
      <w:rFonts w:ascii="宋体"/>
      <w:szCs w:val="21"/>
    </w:rPr>
  </w:style>
  <w:style w:type="character" w:customStyle="1" w:styleId="apple-converted-space">
    <w:name w:val="apple-converted-space"/>
    <w:qFormat/>
  </w:style>
  <w:style w:type="character" w:customStyle="1" w:styleId="aff3">
    <w:name w:val="批注框文本 字符"/>
    <w:qFormat/>
    <w:rPr>
      <w:rFonts w:ascii="宋体" w:eastAsia="宋体" w:cs="Times New Roman"/>
      <w:kern w:val="2"/>
      <w:sz w:val="18"/>
      <w:szCs w:val="18"/>
    </w:rPr>
  </w:style>
  <w:style w:type="character" w:customStyle="1" w:styleId="Char">
    <w:name w:val="纯文本 Char"/>
    <w:qFormat/>
    <w:rPr>
      <w:rFonts w:ascii="宋体" w:cs="Courier New"/>
      <w:kern w:val="2"/>
      <w:sz w:val="21"/>
      <w:szCs w:val="21"/>
    </w:rPr>
  </w:style>
  <w:style w:type="character" w:customStyle="1" w:styleId="Char11">
    <w:name w:val="页脚 Char1"/>
    <w:qFormat/>
    <w:rPr>
      <w:sz w:val="18"/>
      <w:szCs w:val="18"/>
    </w:rPr>
  </w:style>
  <w:style w:type="character" w:customStyle="1" w:styleId="BodyTextIndentChar">
    <w:name w:val="Body Text Indent Char"/>
    <w:qFormat/>
    <w:rPr>
      <w:szCs w:val="24"/>
    </w:rPr>
  </w:style>
  <w:style w:type="character" w:customStyle="1" w:styleId="aff4">
    <w:name w:val="页脚 字符"/>
    <w:qFormat/>
    <w:rPr>
      <w:rFonts w:ascii="宋体" w:eastAsia="宋体" w:cs="Times New Roman"/>
      <w:sz w:val="18"/>
      <w:szCs w:val="18"/>
    </w:rPr>
  </w:style>
  <w:style w:type="character" w:customStyle="1" w:styleId="4Char1">
    <w:name w:val="标题 4 Char1"/>
    <w:qFormat/>
    <w:rPr>
      <w:rFonts w:ascii="Cambria" w:hAnsi="Cambria"/>
      <w:b/>
      <w:bCs/>
      <w:kern w:val="2"/>
      <w:sz w:val="28"/>
      <w:szCs w:val="28"/>
    </w:rPr>
  </w:style>
  <w:style w:type="character" w:customStyle="1" w:styleId="aff5">
    <w:name w:val="消息标题号"/>
    <w:qFormat/>
    <w:rPr>
      <w:rFonts w:ascii="Arial Black" w:eastAsia="黑体" w:hAnsi="Arial Black"/>
      <w:spacing w:val="-10"/>
      <w:sz w:val="21"/>
    </w:rPr>
  </w:style>
  <w:style w:type="character" w:customStyle="1" w:styleId="aff6">
    <w:name w:val="文档结构图 字符"/>
    <w:qFormat/>
    <w:rPr>
      <w:rFonts w:ascii="宋体" w:eastAsia="宋体" w:cs="Times New Roman"/>
      <w:kern w:val="2"/>
      <w:sz w:val="18"/>
      <w:szCs w:val="18"/>
    </w:rPr>
  </w:style>
  <w:style w:type="character" w:customStyle="1" w:styleId="34">
    <w:name w:val="标题 3 字符"/>
    <w:qFormat/>
    <w:rPr>
      <w:b/>
      <w:bCs/>
      <w:sz w:val="28"/>
      <w:szCs w:val="32"/>
      <w:lang w:val="en-GB"/>
    </w:rPr>
  </w:style>
  <w:style w:type="character" w:customStyle="1" w:styleId="aff7">
    <w:name w:val="页眉 字符"/>
    <w:qFormat/>
    <w:rPr>
      <w:rFonts w:ascii="宋体" w:eastAsia="宋体" w:cs="Times New Roman"/>
      <w:sz w:val="18"/>
      <w:szCs w:val="18"/>
    </w:rPr>
  </w:style>
  <w:style w:type="character" w:customStyle="1" w:styleId="25">
    <w:name w:val="标题 2 字符"/>
    <w:qFormat/>
    <w:rPr>
      <w:rFonts w:ascii="Arial" w:hAnsi="Arial"/>
      <w:b/>
      <w:bCs/>
      <w:sz w:val="30"/>
      <w:szCs w:val="32"/>
      <w:lang w:val="en-GB"/>
    </w:rPr>
  </w:style>
  <w:style w:type="character" w:customStyle="1" w:styleId="100">
    <w:name w:val="10"/>
    <w:qFormat/>
    <w:rPr>
      <w:rFonts w:ascii="Times New Roman" w:hAnsi="Times New Roman" w:cs="Times New Roman"/>
    </w:rPr>
  </w:style>
  <w:style w:type="character" w:customStyle="1" w:styleId="15">
    <w:name w:val="15"/>
    <w:qFormat/>
    <w:rPr>
      <w:rFonts w:ascii="Times New Roman" w:hAnsi="Times New Roman" w:cs="Times New Roman"/>
      <w:color w:val="0000FF"/>
      <w:u w:val="single"/>
    </w:rPr>
  </w:style>
  <w:style w:type="character" w:customStyle="1" w:styleId="aff8">
    <w:name w:val="日期 字符"/>
    <w:qFormat/>
    <w:rPr>
      <w:rFonts w:ascii="宋体" w:eastAsia="宋体" w:cs="Times New Roman"/>
      <w:kern w:val="2"/>
      <w:sz w:val="24"/>
      <w:szCs w:val="24"/>
    </w:rPr>
  </w:style>
  <w:style w:type="character" w:customStyle="1" w:styleId="Char12">
    <w:name w:val="批注主题 Char1"/>
    <w:qFormat/>
    <w:rPr>
      <w:rFonts w:ascii="宋体"/>
      <w:b/>
      <w:bCs/>
      <w:kern w:val="2"/>
      <w:sz w:val="24"/>
      <w:szCs w:val="24"/>
    </w:rPr>
  </w:style>
  <w:style w:type="character" w:customStyle="1" w:styleId="aff9">
    <w:name w:val="正文文本缩进 字符"/>
    <w:qFormat/>
    <w:rPr>
      <w:rFonts w:cs="Times New Roman"/>
      <w:kern w:val="2"/>
      <w:sz w:val="24"/>
      <w:szCs w:val="24"/>
    </w:rPr>
  </w:style>
  <w:style w:type="character" w:customStyle="1" w:styleId="Char13">
    <w:name w:val="称呼 Char1"/>
    <w:qFormat/>
    <w:rPr>
      <w:rFonts w:ascii="Calibri" w:hAnsi="Calibri"/>
      <w:kern w:val="2"/>
      <w:sz w:val="21"/>
      <w:szCs w:val="22"/>
    </w:rPr>
  </w:style>
  <w:style w:type="character" w:customStyle="1" w:styleId="Char14">
    <w:name w:val="结束语 Char1"/>
    <w:qFormat/>
    <w:rPr>
      <w:rFonts w:ascii="Calibri" w:hAnsi="Calibri"/>
      <w:kern w:val="2"/>
      <w:sz w:val="21"/>
      <w:szCs w:val="22"/>
    </w:rPr>
  </w:style>
  <w:style w:type="character" w:customStyle="1" w:styleId="Char2">
    <w:name w:val="纯文本 Char2"/>
    <w:qFormat/>
    <w:rPr>
      <w:rFonts w:ascii="宋体" w:cs="Courier New"/>
      <w:kern w:val="2"/>
      <w:sz w:val="21"/>
      <w:szCs w:val="21"/>
    </w:rPr>
  </w:style>
  <w:style w:type="paragraph" w:customStyle="1" w:styleId="affa">
    <w:name w:val="样式 附件 + 加粗"/>
    <w:basedOn w:val="a"/>
    <w:qFormat/>
    <w:pPr>
      <w:ind w:left="357" w:hanging="57"/>
    </w:pPr>
    <w:rPr>
      <w:rFonts w:ascii="Times New Roman" w:eastAsia="仿宋_GB2312" w:hAnsi="Times New Roman"/>
      <w:b/>
      <w:bCs/>
      <w:sz w:val="28"/>
      <w:szCs w:val="24"/>
    </w:rPr>
  </w:style>
  <w:style w:type="paragraph" w:customStyle="1" w:styleId="p16">
    <w:name w:val="p16"/>
    <w:basedOn w:val="a"/>
    <w:qFormat/>
    <w:rPr>
      <w:rFonts w:ascii="Times New Roman" w:hAnsi="Times New Roman"/>
      <w:kern w:val="0"/>
      <w:szCs w:val="21"/>
    </w:rPr>
  </w:style>
  <w:style w:type="character" w:customStyle="1" w:styleId="Char15">
    <w:name w:val="副标题 Char1"/>
    <w:qFormat/>
    <w:rPr>
      <w:rFonts w:ascii="Cambria" w:hAnsi="Cambria" w:cs="Times New Roman"/>
      <w:b/>
      <w:bCs/>
      <w:kern w:val="28"/>
      <w:sz w:val="32"/>
      <w:szCs w:val="32"/>
    </w:rPr>
  </w:style>
  <w:style w:type="character" w:customStyle="1" w:styleId="3Char1">
    <w:name w:val="正文文本缩进 3 Char1"/>
    <w:qFormat/>
    <w:rPr>
      <w:rFonts w:ascii="Calibri" w:hAnsi="Calibri"/>
      <w:kern w:val="2"/>
      <w:sz w:val="16"/>
      <w:szCs w:val="16"/>
    </w:rPr>
  </w:style>
  <w:style w:type="character" w:customStyle="1" w:styleId="Char20">
    <w:name w:val="信息标题 Char2"/>
    <w:qFormat/>
    <w:rPr>
      <w:rFonts w:ascii="Cambria" w:eastAsia="宋体" w:hAnsi="Cambria" w:cs="Times New Roman"/>
      <w:kern w:val="2"/>
      <w:sz w:val="24"/>
      <w:szCs w:val="24"/>
      <w:shd w:val="pct20" w:color="auto" w:fill="auto"/>
    </w:rPr>
  </w:style>
  <w:style w:type="character" w:customStyle="1" w:styleId="HTMLChar2">
    <w:name w:val="HTML 预设格式 Char2"/>
    <w:qFormat/>
    <w:rPr>
      <w:rFonts w:ascii="Courier New" w:hAnsi="Courier New" w:cs="Courier New"/>
      <w:kern w:val="2"/>
    </w:rPr>
  </w:style>
  <w:style w:type="paragraph" w:customStyle="1" w:styleId="51">
    <w:name w:val="列出段落5"/>
    <w:basedOn w:val="a"/>
    <w:qFormat/>
    <w:pPr>
      <w:ind w:firstLineChars="200" w:firstLine="200"/>
    </w:pPr>
  </w:style>
  <w:style w:type="paragraph" w:customStyle="1" w:styleId="affb">
    <w:name w:val="目录标题"/>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affc">
    <w:name w:val="首消息标题"/>
    <w:basedOn w:val="af2"/>
    <w:next w:val="af2"/>
    <w:qFormat/>
    <w:pPr>
      <w:keepLines/>
      <w:widowControl/>
      <w:pBdr>
        <w:top w:val="none" w:sz="0" w:space="0" w:color="auto"/>
        <w:left w:val="none" w:sz="0" w:space="0" w:color="auto"/>
        <w:bottom w:val="none" w:sz="0" w:space="0" w:color="auto"/>
        <w:right w:val="none" w:sz="0" w:space="0" w:color="auto"/>
      </w:pBdr>
      <w:shd w:val="clear" w:color="auto" w:fill="auto"/>
      <w:tabs>
        <w:tab w:val="left" w:pos="720"/>
      </w:tabs>
      <w:spacing w:before="220" w:after="120" w:line="180" w:lineRule="atLeast"/>
      <w:ind w:leftChars="0" w:left="720" w:firstLineChars="0" w:hanging="720"/>
      <w:jc w:val="left"/>
    </w:pPr>
    <w:rPr>
      <w:spacing w:val="-5"/>
      <w:sz w:val="21"/>
      <w:szCs w:val="20"/>
    </w:rPr>
  </w:style>
  <w:style w:type="paragraph" w:customStyle="1" w:styleId="14">
    <w:name w:val="表格标题1"/>
    <w:basedOn w:val="a"/>
    <w:qFormat/>
    <w:rPr>
      <w:rFonts w:ascii="宋体"/>
      <w:b/>
      <w:szCs w:val="24"/>
    </w:rPr>
  </w:style>
  <w:style w:type="paragraph" w:customStyle="1" w:styleId="p0">
    <w:name w:val="p0"/>
    <w:basedOn w:val="a"/>
    <w:qFormat/>
    <w:rPr>
      <w:rFonts w:ascii="Times New Roman" w:hAnsi="Times New Roman"/>
      <w:kern w:val="0"/>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rPr>
  </w:style>
  <w:style w:type="paragraph" w:customStyle="1" w:styleId="bigtext">
    <w:name w:val="bigtext"/>
    <w:basedOn w:val="a"/>
    <w:qFormat/>
    <w:pPr>
      <w:widowControl/>
      <w:spacing w:before="100" w:beforeAutospacing="1" w:after="100" w:afterAutospacing="1" w:line="360" w:lineRule="atLeast"/>
      <w:jc w:val="left"/>
    </w:pPr>
    <w:rPr>
      <w:rFonts w:ascii="ˎ̥" w:hAnsi="ˎ̥"/>
      <w:kern w:val="0"/>
      <w:sz w:val="24"/>
      <w:szCs w:val="21"/>
    </w:rPr>
  </w:style>
  <w:style w:type="paragraph" w:customStyle="1" w:styleId="1-21">
    <w:name w:val="中等深浅网格 1 - 强调文字颜色 21"/>
    <w:basedOn w:val="a"/>
    <w:qFormat/>
    <w:pPr>
      <w:widowControl/>
      <w:ind w:firstLine="420"/>
    </w:pPr>
    <w:rPr>
      <w:rFonts w:ascii="Times New Roman" w:hAnsi="Times New Roman"/>
      <w:kern w:val="0"/>
      <w:szCs w:val="21"/>
    </w:rPr>
  </w:style>
  <w:style w:type="paragraph" w:customStyle="1" w:styleId="Style1">
    <w:name w:val="_Style 1"/>
    <w:basedOn w:val="a"/>
    <w:qFormat/>
    <w:pPr>
      <w:widowControl/>
      <w:ind w:firstLine="420"/>
    </w:pPr>
    <w:rPr>
      <w:rFonts w:ascii="Times New Roman" w:hAnsi="Times New Roman"/>
      <w:kern w:val="0"/>
      <w:szCs w:val="21"/>
    </w:rPr>
  </w:style>
  <w:style w:type="paragraph" w:customStyle="1" w:styleId="affd">
    <w:name w:val="二级"/>
    <w:basedOn w:val="a"/>
    <w:qFormat/>
    <w:pPr>
      <w:spacing w:line="360" w:lineRule="auto"/>
      <w:ind w:firstLineChars="200" w:firstLine="200"/>
    </w:pPr>
    <w:rPr>
      <w:rFonts w:ascii="Times New Roman" w:eastAsia="仿宋_GB2312" w:hAnsi="Times New Roman" w:cs="宋体"/>
      <w:sz w:val="28"/>
      <w:szCs w:val="20"/>
    </w:rPr>
  </w:style>
  <w:style w:type="paragraph" w:customStyle="1" w:styleId="22numberedparagraph">
    <w:name w:val="22 numbered paragraph"/>
    <w:basedOn w:val="a"/>
    <w:next w:val="a"/>
    <w:qFormat/>
    <w:pPr>
      <w:widowControl/>
      <w:tabs>
        <w:tab w:val="left" w:pos="360"/>
      </w:tabs>
      <w:spacing w:after="180"/>
      <w:jc w:val="left"/>
      <w:outlineLvl w:val="4"/>
    </w:pPr>
    <w:rPr>
      <w:rFonts w:ascii="Times New Roman" w:hAnsi="Times New Roman"/>
      <w:b/>
      <w:kern w:val="0"/>
      <w:sz w:val="26"/>
      <w:szCs w:val="20"/>
    </w:rPr>
  </w:style>
  <w:style w:type="paragraph" w:customStyle="1" w:styleId="affe">
    <w:name w:val="三级"/>
    <w:basedOn w:val="a"/>
    <w:qFormat/>
    <w:pPr>
      <w:tabs>
        <w:tab w:val="left" w:pos="1134"/>
      </w:tabs>
      <w:spacing w:line="360" w:lineRule="auto"/>
      <w:ind w:right="119" w:firstLine="300"/>
    </w:pPr>
    <w:rPr>
      <w:rFonts w:ascii="宋体" w:cs="宋体"/>
      <w:szCs w:val="20"/>
    </w:rPr>
  </w:style>
  <w:style w:type="paragraph" w:customStyle="1" w:styleId="ReturnAddress">
    <w:name w:val="Return Address"/>
    <w:basedOn w:val="a"/>
    <w:qFormat/>
    <w:pPr>
      <w:keepLines/>
      <w:framePr w:w="5040" w:hSpace="180" w:vSpace="180" w:wrap="notBeside" w:vAnchor="page" w:hAnchor="page" w:x="1801" w:y="961"/>
      <w:tabs>
        <w:tab w:val="left" w:pos="2640"/>
      </w:tabs>
      <w:autoSpaceDE w:val="0"/>
      <w:autoSpaceDN w:val="0"/>
      <w:adjustRightInd w:val="0"/>
      <w:spacing w:line="200" w:lineRule="atLeast"/>
      <w:jc w:val="left"/>
      <w:textAlignment w:val="baseline"/>
    </w:pPr>
    <w:rPr>
      <w:rFonts w:ascii="Arial" w:hAnsi="Arial"/>
      <w:spacing w:val="-2"/>
      <w:kern w:val="0"/>
      <w:sz w:val="16"/>
      <w:szCs w:val="20"/>
    </w:rPr>
  </w:style>
  <w:style w:type="paragraph" w:customStyle="1" w:styleId="CharCharCharChar">
    <w:name w:val="Char Char Char Char"/>
    <w:basedOn w:val="a"/>
    <w:qFormat/>
    <w:pPr>
      <w:widowControl/>
      <w:spacing w:after="160" w:line="240" w:lineRule="exact"/>
      <w:jc w:val="left"/>
    </w:pPr>
    <w:rPr>
      <w:rFonts w:ascii="Tahoma" w:hAnsi="Tahoma"/>
      <w:kern w:val="0"/>
      <w:sz w:val="20"/>
      <w:szCs w:val="20"/>
    </w:rPr>
  </w:style>
  <w:style w:type="paragraph" w:customStyle="1" w:styleId="TableParagraph">
    <w:name w:val="Table Paragraph"/>
    <w:basedOn w:val="a"/>
    <w:qFormat/>
    <w:pPr>
      <w:jc w:val="left"/>
    </w:pPr>
    <w:rPr>
      <w:kern w:val="0"/>
      <w:sz w:val="22"/>
    </w:rPr>
  </w:style>
  <w:style w:type="paragraph" w:customStyle="1" w:styleId="Heading21">
    <w:name w:val="Heading 21"/>
    <w:basedOn w:val="a"/>
    <w:qFormat/>
    <w:pPr>
      <w:spacing w:before="98"/>
      <w:ind w:left="876"/>
      <w:jc w:val="left"/>
      <w:outlineLvl w:val="2"/>
    </w:pPr>
    <w:rPr>
      <w:rFonts w:ascii="宋体"/>
      <w:kern w:val="0"/>
      <w:sz w:val="35"/>
      <w:szCs w:val="35"/>
    </w:rPr>
  </w:style>
  <w:style w:type="paragraph" w:customStyle="1" w:styleId="26">
    <w:name w:val="样式2"/>
    <w:basedOn w:val="4"/>
    <w:qFormat/>
    <w:pPr>
      <w:tabs>
        <w:tab w:val="left" w:pos="864"/>
      </w:tabs>
      <w:spacing w:before="0" w:after="0" w:line="360" w:lineRule="auto"/>
      <w:ind w:firstLineChars="200" w:firstLine="200"/>
    </w:pPr>
    <w:rPr>
      <w:rFonts w:ascii="Times New Roman" w:eastAsia="宋体" w:hAnsi="Times New Roman"/>
      <w:bCs/>
      <w:kern w:val="2"/>
      <w:sz w:val="21"/>
      <w:szCs w:val="21"/>
    </w:rPr>
  </w:style>
  <w:style w:type="paragraph" w:customStyle="1" w:styleId="TOC2">
    <w:name w:val="TOC 标题2"/>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Char0">
    <w:name w:val="Char"/>
    <w:basedOn w:val="a"/>
    <w:qFormat/>
    <w:pPr>
      <w:widowControl/>
      <w:spacing w:after="160" w:line="240" w:lineRule="exact"/>
      <w:jc w:val="left"/>
    </w:pPr>
    <w:rPr>
      <w:rFonts w:ascii="Verdana" w:eastAsia="仿宋_GB2312" w:hAnsi="Verdana"/>
      <w:kern w:val="0"/>
      <w:sz w:val="24"/>
      <w:szCs w:val="20"/>
    </w:rPr>
  </w:style>
  <w:style w:type="character" w:customStyle="1" w:styleId="font21">
    <w:name w:val="font21"/>
    <w:qFormat/>
    <w:rPr>
      <w:rFonts w:ascii="宋体" w:eastAsia="宋体" w:cs="宋体"/>
      <w:color w:val="000000"/>
      <w:sz w:val="18"/>
      <w:szCs w:val="18"/>
      <w:u w:val="none"/>
    </w:rPr>
  </w:style>
  <w:style w:type="paragraph" w:customStyle="1" w:styleId="Char16">
    <w:name w:val="Char1"/>
    <w:basedOn w:val="a"/>
    <w:qFormat/>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19</Pages>
  <Words>1521</Words>
  <Characters>8672</Characters>
  <Application>Microsoft Office Word</Application>
  <DocSecurity>0</DocSecurity>
  <Lines>72</Lines>
  <Paragraphs>20</Paragraphs>
  <ScaleCrop>false</ScaleCrop>
  <Company>微软中国</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Windows正版用户</dc:creator>
  <cp:lastModifiedBy>Administrator</cp:lastModifiedBy>
  <cp:revision>308</cp:revision>
  <cp:lastPrinted>2022-08-05T18:29:00Z</cp:lastPrinted>
  <dcterms:created xsi:type="dcterms:W3CDTF">2022-06-29T16:33:00Z</dcterms:created>
  <dcterms:modified xsi:type="dcterms:W3CDTF">2023-03-31T09:09:00Z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88C7F73EC87F4FB0995F4AA13A48177F</vt:lpwstr>
  </property>
</Properties>
</file>