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80645</wp:posOffset>
                </wp:positionV>
                <wp:extent cx="5579745" cy="14605"/>
                <wp:effectExtent l="0" t="4445" r="1905" b="9525"/>
                <wp:wrapTopAndBottom/>
                <wp:docPr id="1" name="直接连接符 1"/>
                <wp:cNvGraphicFramePr/>
                <a:graphic xmlns:a="http://schemas.openxmlformats.org/drawingml/2006/main">
                  <a:graphicData uri="http://schemas.microsoft.com/office/word/2010/wordprocessingShape">
                    <wps:wsp>
                      <wps:cNvSpPr/>
                      <wps:spPr>
                        <a:xfrm>
                          <a:off x="0" y="0"/>
                          <a:ext cx="5579745" cy="14605"/>
                        </a:xfrm>
                        <a:prstGeom prst="line">
                          <a:avLst/>
                        </a:prstGeom>
                        <a:ln w="9525"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35pt;height:1.15pt;width:439.35pt;mso-wrap-distance-bottom:0pt;mso-wrap-distance-top:0pt;z-index:251659264;mso-width-relative:page;mso-height-relative:page;" filled="f" stroked="t" coordsize="21600,21600" o:allowincell="f" o:gfxdata="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FRLtQAAAAGAQAADwAAAAAAAAABACAAAAAiAAAAZHJzL2Rvd25yZXYueG1sUEsBAhQA&#10;FAAAAAgAh07iQBhT0BT2AQAA6AMAAA4AAAAAAAAAAQAgAAAAIwEAAGRycy9lMm9Eb2MueG1sUEsF&#10;BgAAAAAGAAYAWQEAAIsFAAAAAA==&#10;">
                <v:path arrowok="t"/>
                <v:fill on="f" focussize="0,0"/>
                <v:stroke color="#FFFFFF"/>
                <v:imagedata o:title=""/>
                <o:lock v:ext="edit"/>
                <w10:wrap type="topAndBottom"/>
              </v:line>
            </w:pict>
          </mc:Fallback>
        </mc:AlternateContent>
      </w:r>
      <w:r>
        <w:rPr>
          <w:rFonts w:hint="eastAsia" w:ascii="方正小标宋简体" w:hAnsi="方正小标宋简体" w:eastAsia="方正小标宋简体" w:cs="方正小标宋简体"/>
          <w:b w:val="0"/>
          <w:bCs w:val="0"/>
          <w:sz w:val="44"/>
          <w:szCs w:val="44"/>
        </w:rPr>
        <w:t>秦皇岛市行政审批局</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方正小标宋简体" w:hAnsi="方正小标宋简体" w:eastAsia="方正小标宋简体" w:cs="方正小标宋简体"/>
          <w:b w:val="0"/>
          <w:bCs w:val="0"/>
          <w:sz w:val="44"/>
          <w:szCs w:val="44"/>
          <w:lang w:val="zh-CN" w:eastAsia="zh-CN"/>
        </w:rPr>
      </w:pPr>
      <w:r>
        <w:rPr>
          <w:rFonts w:hint="eastAsia" w:ascii="方正小标宋简体" w:hAnsi="方正小标宋简体" w:eastAsia="方正小标宋简体" w:cs="方正小标宋简体"/>
          <w:b w:val="0"/>
          <w:bCs w:val="0"/>
          <w:sz w:val="44"/>
          <w:szCs w:val="44"/>
        </w:rPr>
        <w:t>关</w:t>
      </w:r>
      <w:r>
        <w:rPr>
          <w:rFonts w:hint="eastAsia" w:ascii="方正小标宋简体" w:hAnsi="方正小标宋简体" w:eastAsia="方正小标宋简体" w:cs="方正小标宋简体"/>
          <w:b w:val="0"/>
          <w:bCs w:val="0"/>
          <w:sz w:val="44"/>
          <w:szCs w:val="44"/>
          <w:lang w:eastAsia="zh-CN"/>
        </w:rPr>
        <w:t>于</w:t>
      </w:r>
      <w:r>
        <w:rPr>
          <w:rFonts w:hint="eastAsia" w:ascii="方正小标宋简体" w:hAnsi="方正小标宋简体" w:eastAsia="方正小标宋简体" w:cs="方正小标宋简体"/>
          <w:b w:val="0"/>
          <w:bCs w:val="0"/>
          <w:sz w:val="44"/>
          <w:szCs w:val="44"/>
          <w:lang w:val="zh-CN" w:eastAsia="zh-CN"/>
        </w:rPr>
        <w:t>纬一路（南岭东路</w:t>
      </w:r>
      <w:r>
        <w:rPr>
          <w:rFonts w:hint="eastAsia" w:ascii="方正小标宋简体" w:hAnsi="方正小标宋简体" w:eastAsia="方正小标宋简体" w:cs="方正小标宋简体"/>
          <w:b w:val="0"/>
          <w:bCs w:val="0"/>
          <w:sz w:val="44"/>
          <w:szCs w:val="44"/>
          <w:lang w:val="en-US" w:eastAsia="zh-CN"/>
        </w:rPr>
        <w:t>-宁静山路</w:t>
      </w:r>
      <w:r>
        <w:rPr>
          <w:rFonts w:hint="eastAsia" w:ascii="方正小标宋简体" w:hAnsi="方正小标宋简体" w:eastAsia="方正小标宋简体" w:cs="方正小标宋简体"/>
          <w:b w:val="0"/>
          <w:bCs w:val="0"/>
          <w:sz w:val="44"/>
          <w:szCs w:val="44"/>
          <w:lang w:val="zh-CN" w:eastAsia="zh-CN"/>
        </w:rPr>
        <w:t>）道路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zh-CN" w:eastAsia="zh-CN"/>
        </w:rPr>
        <w:t>建设工程</w:t>
      </w:r>
      <w:r>
        <w:rPr>
          <w:rFonts w:hint="eastAsia" w:ascii="方正小标宋简体" w:hAnsi="方正小标宋简体" w:eastAsia="方正小标宋简体" w:cs="方正小标宋简体"/>
          <w:b w:val="0"/>
          <w:bCs w:val="0"/>
          <w:sz w:val="44"/>
          <w:szCs w:val="44"/>
          <w:lang w:eastAsia="zh-CN"/>
        </w:rPr>
        <w:t>初步设计</w:t>
      </w:r>
      <w:r>
        <w:rPr>
          <w:rFonts w:hint="eastAsia" w:ascii="方正小标宋简体" w:hAnsi="方正小标宋简体" w:eastAsia="方正小标宋简体" w:cs="方正小标宋简体"/>
          <w:b w:val="0"/>
          <w:bCs w:val="0"/>
          <w:sz w:val="44"/>
          <w:szCs w:val="44"/>
        </w:rPr>
        <w:t>的批复</w:t>
      </w:r>
    </w:p>
    <w:p>
      <w:pPr>
        <w:pStyle w:val="5"/>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sz w:val="30"/>
          <w:szCs w:val="30"/>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szCs w:val="32"/>
        </w:rPr>
      </w:pPr>
      <w:r>
        <w:rPr>
          <w:rFonts w:hint="eastAsia" w:ascii="仿宋_GB2312" w:hAnsi="仿宋_GB2312" w:eastAsia="仿宋_GB2312" w:cs="仿宋_GB2312"/>
          <w:b w:val="0"/>
          <w:bCs w:val="0"/>
          <w:kern w:val="2"/>
          <w:sz w:val="32"/>
          <w:szCs w:val="32"/>
          <w:lang w:val="zh-CN" w:eastAsia="zh-CN" w:bidi="ar-SA"/>
        </w:rPr>
        <w:t>秦皇岛</w:t>
      </w:r>
      <w:r>
        <w:rPr>
          <w:rFonts w:hint="eastAsia" w:ascii="仿宋_GB2312" w:hAnsi="仿宋_GB2312" w:eastAsia="仿宋_GB2312" w:cs="仿宋_GB2312"/>
          <w:sz w:val="32"/>
          <w:szCs w:val="32"/>
          <w:lang w:val="zh-CN" w:eastAsia="zh-CN"/>
        </w:rPr>
        <w:t>市住房和城乡建设局</w:t>
      </w:r>
      <w:r>
        <w:rPr>
          <w:rFonts w:hint="eastAsia" w:ascii="仿宋" w:hAnsi="仿宋" w:eastAsia="仿宋" w:cs="仿宋"/>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zh-CN" w:eastAsia="zh-CN" w:bidi="ar-SA"/>
        </w:rPr>
      </w:pPr>
      <w:r>
        <w:rPr>
          <w:rFonts w:hint="eastAsia" w:ascii="仿宋_GB2312" w:hAnsi="仿宋_GB2312" w:eastAsia="仿宋_GB2312" w:cs="仿宋_GB2312"/>
          <w:b w:val="0"/>
          <w:bCs w:val="0"/>
          <w:kern w:val="2"/>
          <w:sz w:val="32"/>
          <w:szCs w:val="32"/>
          <w:lang w:val="zh-CN" w:eastAsia="zh-CN" w:bidi="ar-SA"/>
        </w:rPr>
        <w:t>你单位《关于报批</w:t>
      </w:r>
      <w:r>
        <w:rPr>
          <w:rFonts w:hint="eastAsia" w:ascii="仿宋" w:hAnsi="仿宋" w:eastAsia="仿宋" w:cs="仿宋"/>
          <w:sz w:val="32"/>
          <w:szCs w:val="32"/>
          <w:lang w:val="zh-CN" w:eastAsia="zh-CN"/>
        </w:rPr>
        <w:t>纬一路（南岭东路</w:t>
      </w:r>
      <w:r>
        <w:rPr>
          <w:rFonts w:hint="eastAsia" w:ascii="仿宋" w:hAnsi="仿宋" w:eastAsia="仿宋" w:cs="仿宋"/>
          <w:sz w:val="32"/>
          <w:szCs w:val="32"/>
          <w:lang w:val="en-US" w:eastAsia="zh-CN"/>
        </w:rPr>
        <w:t>-宁静山路</w:t>
      </w:r>
      <w:r>
        <w:rPr>
          <w:rFonts w:hint="eastAsia" w:ascii="仿宋" w:hAnsi="仿宋" w:eastAsia="仿宋" w:cs="仿宋"/>
          <w:sz w:val="32"/>
          <w:szCs w:val="32"/>
          <w:lang w:val="zh-CN" w:eastAsia="zh-CN"/>
        </w:rPr>
        <w:t>）道路建设工程初步设计的请示》及中土大地国际建筑设计有限公司编制的《纬一路（南岭东路</w:t>
      </w:r>
      <w:r>
        <w:rPr>
          <w:rFonts w:hint="eastAsia" w:ascii="仿宋" w:hAnsi="仿宋" w:eastAsia="仿宋" w:cs="仿宋"/>
          <w:sz w:val="32"/>
          <w:szCs w:val="32"/>
          <w:lang w:val="en-US" w:eastAsia="zh-CN"/>
        </w:rPr>
        <w:t>-宁静山路</w:t>
      </w:r>
      <w:r>
        <w:rPr>
          <w:rFonts w:hint="eastAsia" w:ascii="仿宋" w:hAnsi="仿宋" w:eastAsia="仿宋" w:cs="仿宋"/>
          <w:sz w:val="32"/>
          <w:szCs w:val="32"/>
          <w:lang w:val="zh-CN" w:eastAsia="zh-CN"/>
        </w:rPr>
        <w:t>）道路建设工程初步设计》（报审版）等材料收悉。依据河北泓远工程项目管理有限公司出具的《纬一路（南岭东路</w:t>
      </w:r>
      <w:r>
        <w:rPr>
          <w:rFonts w:hint="eastAsia" w:ascii="仿宋" w:hAnsi="仿宋" w:eastAsia="仿宋" w:cs="仿宋"/>
          <w:sz w:val="32"/>
          <w:szCs w:val="32"/>
          <w:lang w:val="en-US" w:eastAsia="zh-CN"/>
        </w:rPr>
        <w:t>-宁静山路</w:t>
      </w:r>
      <w:r>
        <w:rPr>
          <w:rFonts w:hint="eastAsia" w:ascii="仿宋" w:hAnsi="仿宋" w:eastAsia="仿宋" w:cs="仿宋"/>
          <w:sz w:val="32"/>
          <w:szCs w:val="32"/>
          <w:lang w:val="zh-CN" w:eastAsia="zh-CN"/>
        </w:rPr>
        <w:t>）道路建设工程初步设计评审报告》，原则同意中土大地国际建筑设计有限公司修订后的该工程初步设计文件（报批版）。现将相</w:t>
      </w:r>
      <w:r>
        <w:rPr>
          <w:rFonts w:hint="eastAsia" w:ascii="仿宋_GB2312" w:hAnsi="仿宋_GB2312" w:eastAsia="仿宋_GB2312" w:cs="仿宋_GB2312"/>
          <w:b w:val="0"/>
          <w:bCs w:val="0"/>
          <w:kern w:val="2"/>
          <w:sz w:val="32"/>
          <w:szCs w:val="32"/>
          <w:lang w:val="zh-CN" w:eastAsia="zh-CN" w:bidi="ar-SA"/>
        </w:rPr>
        <w:t>关内容批复如下：</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szCs w:val="32"/>
          <w:lang w:eastAsia="zh-CN"/>
        </w:rPr>
        <w:t>一、项目名称：</w:t>
      </w:r>
      <w:r>
        <w:rPr>
          <w:rFonts w:hint="eastAsia" w:ascii="仿宋" w:hAnsi="仿宋" w:eastAsia="仿宋" w:cs="仿宋"/>
          <w:sz w:val="32"/>
          <w:szCs w:val="32"/>
          <w:lang w:val="zh-CN" w:eastAsia="zh-CN"/>
        </w:rPr>
        <w:t>纬一路（南岭东路</w:t>
      </w:r>
      <w:r>
        <w:rPr>
          <w:rFonts w:hint="eastAsia" w:ascii="仿宋" w:hAnsi="仿宋" w:eastAsia="仿宋" w:cs="仿宋"/>
          <w:sz w:val="32"/>
          <w:szCs w:val="32"/>
          <w:lang w:val="en-US" w:eastAsia="zh-CN"/>
        </w:rPr>
        <w:t>-宁静山路</w:t>
      </w:r>
      <w:r>
        <w:rPr>
          <w:rFonts w:hint="eastAsia" w:ascii="仿宋" w:hAnsi="仿宋" w:eastAsia="仿宋" w:cs="仿宋"/>
          <w:sz w:val="32"/>
          <w:szCs w:val="32"/>
          <w:lang w:val="zh-CN" w:eastAsia="zh-CN"/>
        </w:rPr>
        <w:t>）道路建设工程。</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二、项目实施单位：</w:t>
      </w:r>
      <w:r>
        <w:rPr>
          <w:rFonts w:hint="eastAsia" w:ascii="仿宋" w:hAnsi="仿宋" w:eastAsia="仿宋" w:cs="仿宋"/>
          <w:sz w:val="32"/>
          <w:szCs w:val="32"/>
          <w:lang w:val="en-US" w:eastAsia="zh-CN"/>
        </w:rPr>
        <w:t>秦皇岛市市政工程建设服务中心。</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三、建设地点：海港区西部。西起南岭东路，东至宁静山路。</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val="0"/>
          <w:bCs w:val="0"/>
          <w:sz w:val="32"/>
          <w:szCs w:val="32"/>
          <w:lang w:val="en-US" w:eastAsia="zh-CN"/>
        </w:rPr>
        <w:t>四、主要建设内容及规模：新建</w:t>
      </w:r>
      <w:r>
        <w:rPr>
          <w:rFonts w:hint="eastAsia" w:ascii="仿宋_GB2312" w:hAnsi="仿宋_GB2312" w:eastAsia="仿宋_GB2312" w:cs="仿宋_GB2312"/>
          <w:sz w:val="32"/>
          <w:szCs w:val="32"/>
          <w:lang w:val="zh-CN" w:eastAsia="zh-CN"/>
        </w:rPr>
        <w:t>纬一路（南岭东路</w:t>
      </w:r>
      <w:r>
        <w:rPr>
          <w:rFonts w:hint="eastAsia" w:ascii="仿宋_GB2312" w:hAnsi="仿宋_GB2312" w:eastAsia="仿宋_GB2312" w:cs="仿宋_GB2312"/>
          <w:sz w:val="32"/>
          <w:szCs w:val="32"/>
          <w:lang w:val="en-US" w:eastAsia="zh-CN"/>
        </w:rPr>
        <w:t>-宁静山路</w:t>
      </w:r>
      <w:r>
        <w:rPr>
          <w:rFonts w:hint="eastAsia" w:ascii="仿宋_GB2312" w:hAnsi="仿宋_GB2312" w:eastAsia="仿宋_GB2312" w:cs="仿宋_GB2312"/>
          <w:sz w:val="32"/>
          <w:szCs w:val="32"/>
          <w:lang w:val="zh-CN" w:eastAsia="zh-CN"/>
        </w:rPr>
        <w:t>）</w:t>
      </w:r>
      <w:r>
        <w:rPr>
          <w:rFonts w:hint="eastAsia" w:ascii="仿宋" w:hAnsi="仿宋" w:eastAsia="仿宋" w:cs="仿宋"/>
          <w:sz w:val="32"/>
          <w:szCs w:val="32"/>
          <w:lang w:val="zh-CN" w:eastAsia="zh-CN"/>
        </w:rPr>
        <w:t>道路建设工程，</w:t>
      </w:r>
      <w:r>
        <w:rPr>
          <w:rFonts w:hint="eastAsia" w:ascii="仿宋" w:hAnsi="仿宋" w:eastAsia="仿宋" w:cs="仿宋"/>
          <w:sz w:val="32"/>
          <w:szCs w:val="32"/>
        </w:rPr>
        <w:t>道路</w:t>
      </w:r>
      <w:r>
        <w:rPr>
          <w:rFonts w:hint="eastAsia" w:ascii="仿宋" w:hAnsi="仿宋" w:eastAsia="仿宋" w:cs="仿宋"/>
          <w:sz w:val="32"/>
          <w:szCs w:val="32"/>
          <w:lang w:eastAsia="zh-CN"/>
        </w:rPr>
        <w:t>等级为城市支路，红线宽</w:t>
      </w:r>
      <w:r>
        <w:rPr>
          <w:rFonts w:hint="eastAsia" w:ascii="仿宋" w:hAnsi="仿宋" w:eastAsia="仿宋" w:cs="仿宋"/>
          <w:sz w:val="32"/>
          <w:szCs w:val="32"/>
          <w:lang w:val="en-US" w:eastAsia="zh-CN"/>
        </w:rPr>
        <w:t>20米，</w:t>
      </w:r>
      <w:r>
        <w:rPr>
          <w:rFonts w:hint="eastAsia" w:ascii="仿宋_GB2312" w:hAnsi="仿宋_GB2312" w:eastAsia="仿宋_GB2312" w:cs="仿宋_GB2312"/>
          <w:sz w:val="32"/>
          <w:szCs w:val="32"/>
        </w:rPr>
        <w:t>道路长度</w:t>
      </w:r>
      <w:r>
        <w:rPr>
          <w:rFonts w:hint="eastAsia" w:ascii="仿宋_GB2312" w:hAnsi="仿宋_GB2312" w:eastAsia="仿宋_GB2312" w:cs="仿宋_GB2312"/>
          <w:sz w:val="32"/>
          <w:szCs w:val="32"/>
          <w:lang w:val="en-US" w:eastAsia="zh-CN"/>
        </w:rPr>
        <w:t>312.23</w:t>
      </w:r>
      <w:r>
        <w:rPr>
          <w:rFonts w:hint="eastAsia" w:ascii="仿宋_GB2312" w:hAnsi="仿宋_GB2312" w:eastAsia="仿宋_GB2312" w:cs="仿宋_GB2312"/>
          <w:sz w:val="32"/>
          <w:szCs w:val="32"/>
        </w:rPr>
        <w:t>米</w:t>
      </w:r>
      <w:r>
        <w:rPr>
          <w:rFonts w:hint="eastAsia" w:hAnsi="仿宋_GB2312" w:cs="仿宋_GB2312"/>
          <w:sz w:val="32"/>
          <w:szCs w:val="32"/>
          <w:lang w:eastAsia="zh-CN"/>
        </w:rPr>
        <w:t>（含桥梁一座，宽</w:t>
      </w:r>
      <w:r>
        <w:rPr>
          <w:rFonts w:hint="eastAsia" w:hAnsi="仿宋_GB2312" w:cs="仿宋_GB2312"/>
          <w:sz w:val="32"/>
          <w:szCs w:val="32"/>
          <w:lang w:val="en-US" w:eastAsia="zh-CN"/>
        </w:rPr>
        <w:t>20米，采用1</w:t>
      </w:r>
      <w:r>
        <w:rPr>
          <w:rFonts w:hint="default" w:ascii="Arial" w:hAnsi="Arial" w:cs="Arial"/>
          <w:sz w:val="32"/>
          <w:szCs w:val="32"/>
          <w:lang w:val="en-US" w:eastAsia="zh-CN"/>
        </w:rPr>
        <w:t>×</w:t>
      </w:r>
      <w:r>
        <w:rPr>
          <w:rFonts w:hint="eastAsia" w:hAnsi="仿宋_GB2312" w:cs="仿宋_GB2312"/>
          <w:sz w:val="32"/>
          <w:szCs w:val="32"/>
          <w:lang w:val="en-US" w:eastAsia="zh-CN"/>
        </w:rPr>
        <w:t>13m布跨方式</w:t>
      </w:r>
      <w:r>
        <w:rPr>
          <w:rFonts w:hint="eastAsia" w:hAnsi="仿宋_GB2312" w:cs="仿宋_GB2312"/>
          <w:sz w:val="32"/>
          <w:szCs w:val="32"/>
          <w:lang w:eastAsia="zh-CN"/>
        </w:rPr>
        <w:t>）</w:t>
      </w:r>
      <w:r>
        <w:rPr>
          <w:rFonts w:hint="eastAsia" w:ascii="仿宋_GB2312" w:hAnsi="仿宋_GB2312" w:eastAsia="仿宋_GB2312" w:cs="仿宋_GB2312"/>
          <w:sz w:val="32"/>
          <w:szCs w:val="32"/>
        </w:rPr>
        <w:t>，沥青混凝土路面</w:t>
      </w:r>
      <w:r>
        <w:rPr>
          <w:rFonts w:hint="eastAsia" w:ascii="仿宋_GB2312" w:hAnsi="仿宋_GB2312" w:eastAsia="仿宋_GB2312" w:cs="仿宋_GB2312"/>
          <w:sz w:val="32"/>
          <w:szCs w:val="32"/>
          <w:lang w:eastAsia="zh-CN"/>
        </w:rPr>
        <w:t>结构</w:t>
      </w:r>
      <w:r>
        <w:rPr>
          <w:rFonts w:hint="eastAsia" w:hAnsi="仿宋_GB2312" w:cs="仿宋_GB2312"/>
          <w:sz w:val="32"/>
          <w:szCs w:val="32"/>
          <w:lang w:eastAsia="zh-CN"/>
        </w:rPr>
        <w:t>，</w:t>
      </w:r>
      <w:r>
        <w:rPr>
          <w:rFonts w:hint="eastAsia" w:ascii="仿宋_GB2312" w:hAnsi="仿宋_GB2312" w:eastAsia="仿宋_GB2312" w:cs="仿宋_GB2312"/>
          <w:sz w:val="32"/>
          <w:szCs w:val="32"/>
          <w:lang w:eastAsia="zh-CN"/>
        </w:rPr>
        <w:t>交叉口与</w:t>
      </w:r>
      <w:r>
        <w:rPr>
          <w:rFonts w:hint="eastAsia" w:hAnsi="仿宋_GB2312" w:cs="仿宋_GB2312"/>
          <w:sz w:val="32"/>
          <w:szCs w:val="32"/>
          <w:lang w:eastAsia="zh-CN"/>
        </w:rPr>
        <w:t>既</w:t>
      </w:r>
      <w:r>
        <w:rPr>
          <w:rFonts w:hint="eastAsia" w:ascii="仿宋_GB2312" w:hAnsi="仿宋_GB2312" w:eastAsia="仿宋_GB2312" w:cs="仿宋_GB2312"/>
          <w:sz w:val="32"/>
          <w:szCs w:val="32"/>
          <w:lang w:eastAsia="zh-CN"/>
        </w:rPr>
        <w:t>有道路顺接。</w:t>
      </w:r>
      <w:r>
        <w:rPr>
          <w:rFonts w:hint="eastAsia" w:ascii="仿宋_GB2312" w:hAnsi="仿宋_GB2312" w:eastAsia="仿宋_GB2312" w:cs="仿宋_GB2312"/>
          <w:sz w:val="32"/>
          <w:szCs w:val="32"/>
        </w:rPr>
        <w:t>配套建设雨水、污水、电缆沟、交通安全</w:t>
      </w:r>
      <w:r>
        <w:rPr>
          <w:rFonts w:hint="eastAsia" w:ascii="仿宋_GB2312" w:hAnsi="仿宋_GB2312" w:eastAsia="仿宋_GB2312" w:cs="仿宋_GB2312"/>
          <w:sz w:val="32"/>
          <w:szCs w:val="32"/>
          <w:lang w:eastAsia="zh-CN"/>
        </w:rPr>
        <w:t>、照明</w:t>
      </w:r>
      <w:r>
        <w:rPr>
          <w:rFonts w:hint="eastAsia" w:ascii="仿宋_GB2312" w:hAnsi="仿宋_GB2312" w:eastAsia="仿宋_GB2312" w:cs="仿宋_GB2312"/>
          <w:sz w:val="32"/>
          <w:szCs w:val="32"/>
        </w:rPr>
        <w:t>、绿化等设施。</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Cs w:val="32"/>
          <w:u w:val="single"/>
        </w:rPr>
      </w:pPr>
      <w:r>
        <w:rPr>
          <w:rFonts w:hint="eastAsia" w:ascii="仿宋_GB2312" w:hAnsi="仿宋_GB2312" w:eastAsia="仿宋_GB2312" w:cs="仿宋_GB2312"/>
          <w:sz w:val="32"/>
          <w:szCs w:val="32"/>
          <w:lang w:val="en-US" w:eastAsia="zh-CN"/>
        </w:rPr>
        <w:t>五、</w:t>
      </w:r>
      <w:r>
        <w:rPr>
          <w:rFonts w:hint="eastAsia" w:hAnsi="仿宋_GB2312" w:cs="仿宋_GB2312"/>
          <w:sz w:val="32"/>
          <w:szCs w:val="32"/>
          <w:lang w:val="en-US" w:eastAsia="zh-CN"/>
        </w:rPr>
        <w:t>总</w:t>
      </w:r>
      <w:r>
        <w:rPr>
          <w:rFonts w:hint="eastAsia" w:ascii="仿宋_GB2312" w:hAnsi="仿宋_GB2312" w:eastAsia="仿宋_GB2312" w:cs="仿宋_GB2312"/>
          <w:sz w:val="32"/>
          <w:szCs w:val="32"/>
          <w:lang w:val="en-US" w:eastAsia="zh-CN"/>
        </w:rPr>
        <w:t>投资及资金筹措：项目</w:t>
      </w:r>
      <w:r>
        <w:rPr>
          <w:rFonts w:hint="eastAsia" w:hAnsi="仿宋_GB2312" w:cs="仿宋_GB2312"/>
          <w:sz w:val="32"/>
          <w:szCs w:val="32"/>
          <w:lang w:val="en-US" w:eastAsia="zh-CN"/>
        </w:rPr>
        <w:t>概</w:t>
      </w:r>
      <w:r>
        <w:rPr>
          <w:rFonts w:hint="eastAsia" w:ascii="仿宋_GB2312" w:hAnsi="仿宋_GB2312" w:eastAsia="仿宋_GB2312" w:cs="仿宋_GB2312"/>
          <w:sz w:val="32"/>
          <w:szCs w:val="32"/>
          <w:lang w:val="en-US" w:eastAsia="zh-CN"/>
        </w:rPr>
        <w:t>算总投资</w:t>
      </w:r>
      <w:r>
        <w:rPr>
          <w:rFonts w:hint="eastAsia" w:hAnsi="仿宋_GB2312" w:cs="仿宋_GB2312"/>
          <w:sz w:val="32"/>
          <w:szCs w:val="32"/>
          <w:lang w:val="en-US" w:eastAsia="zh-CN"/>
        </w:rPr>
        <w:t>983.27</w:t>
      </w:r>
      <w:r>
        <w:rPr>
          <w:rFonts w:hint="eastAsia" w:ascii="仿宋_GB2312" w:hAnsi="仿宋_GB2312" w:eastAsia="仿宋_GB2312" w:cs="仿宋_GB2312"/>
          <w:sz w:val="32"/>
          <w:szCs w:val="32"/>
          <w:lang w:val="en-US" w:eastAsia="zh-CN"/>
        </w:rPr>
        <w:t>万元。资金筹措：</w:t>
      </w:r>
      <w:r>
        <w:rPr>
          <w:rFonts w:hint="eastAsia" w:ascii="仿宋_GB2312" w:hAnsi="仿宋_GB2312" w:eastAsia="仿宋_GB2312" w:cs="仿宋_GB2312"/>
          <w:sz w:val="32"/>
          <w:szCs w:val="32"/>
        </w:rPr>
        <w:t>市财政投资</w:t>
      </w:r>
      <w:r>
        <w:rPr>
          <w:rFonts w:hint="eastAsia" w:hAnsi="仿宋_GB2312" w:cs="仿宋_GB2312"/>
          <w:sz w:val="32"/>
          <w:szCs w:val="32"/>
          <w:lang w:eastAsia="zh-CN"/>
        </w:rPr>
        <w:t>（待上级资金到位后实施）</w:t>
      </w:r>
      <w:r>
        <w:rPr>
          <w:rFonts w:hint="eastAsia" w:hAnsi="仿宋_GB2312" w:cs="仿宋_GB2312"/>
          <w:b w:val="0"/>
          <w:bCs w:val="0"/>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Cs w:val="32"/>
          <w:lang w:val="en-US" w:eastAsia="zh-CN"/>
        </w:rPr>
      </w:pPr>
      <w:r>
        <w:rPr>
          <w:rFonts w:hint="eastAsia"/>
          <w:sz w:val="32"/>
          <w:lang w:eastAsia="zh-CN"/>
        </w:rPr>
        <w:t>六、</w:t>
      </w:r>
      <w:r>
        <w:rPr>
          <w:rFonts w:hint="eastAsia" w:ascii="仿宋_GB2312" w:eastAsia="仿宋_GB2312"/>
          <w:sz w:val="32"/>
        </w:rPr>
        <w:t>请抓紧办理相关手续，落实建设条件，尽快组织实施。并及时、如实通过河北省投资项目在线审批监管平台报送项目开工、建设进度、竣工验收等方面的基本信息，主动接受财政、发改、资源规划、生态环境、</w:t>
      </w:r>
      <w:r>
        <w:rPr>
          <w:rFonts w:hint="eastAsia"/>
          <w:sz w:val="32"/>
          <w:lang w:eastAsia="zh-CN"/>
        </w:rPr>
        <w:t>城管、</w:t>
      </w:r>
      <w:r>
        <w:rPr>
          <w:rFonts w:hint="eastAsia" w:ascii="仿宋_GB2312" w:eastAsia="仿宋_GB2312"/>
          <w:sz w:val="32"/>
        </w:rPr>
        <w:t>水务、统计、电力等相关部门的监管</w:t>
      </w:r>
      <w:r>
        <w:rPr>
          <w:rFonts w:hint="eastAsia" w:ascii="仿宋" w:hAnsi="仿宋" w:eastAsia="仿宋" w:cs="仿宋"/>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Cs w:val="32"/>
          <w:lang w:val="en-US" w:eastAsia="zh-CN"/>
        </w:rPr>
      </w:pPr>
    </w:p>
    <w:p>
      <w:pPr>
        <w:pStyle w:val="5"/>
        <w:keepNext w:val="0"/>
        <w:keepLines w:val="0"/>
        <w:pageBreakBefore w:val="0"/>
        <w:widowControl w:val="0"/>
        <w:kinsoku/>
        <w:wordWrap/>
        <w:overflowPunct/>
        <w:topLinePunct w:val="0"/>
        <w:autoSpaceDE/>
        <w:autoSpaceDN/>
        <w:bidi w:val="0"/>
        <w:adjustRightInd/>
        <w:spacing w:line="560" w:lineRule="atLeast"/>
        <w:ind w:firstLine="4480" w:firstLineChars="1400"/>
        <w:textAlignment w:val="auto"/>
        <w:rPr>
          <w:rFonts w:hint="eastAsia" w:ascii="仿宋" w:hAnsi="仿宋" w:eastAsia="仿宋"/>
          <w:szCs w:val="32"/>
        </w:rPr>
      </w:pPr>
      <w:r>
        <w:rPr>
          <w:rFonts w:hint="eastAsia" w:ascii="仿宋" w:hAnsi="仿宋" w:eastAsia="仿宋"/>
          <w:szCs w:val="32"/>
        </w:rPr>
        <w:t>秦皇岛市行政审批局</w:t>
      </w:r>
    </w:p>
    <w:p>
      <w:pPr>
        <w:keepNext w:val="0"/>
        <w:keepLines w:val="0"/>
        <w:pageBreakBefore w:val="0"/>
        <w:widowControl w:val="0"/>
        <w:kinsoku/>
        <w:wordWrap/>
        <w:overflowPunct/>
        <w:topLinePunct w:val="0"/>
        <w:autoSpaceDE/>
        <w:autoSpaceDN/>
        <w:bidi w:val="0"/>
        <w:adjustRightInd/>
        <w:snapToGrid w:val="0"/>
        <w:spacing w:line="560" w:lineRule="atLeast"/>
        <w:ind w:right="-2"/>
        <w:jc w:val="center"/>
        <w:textAlignment w:val="auto"/>
        <w:rPr>
          <w:rFonts w:hint="eastAsia" w:ascii="仿宋_GB2312" w:hAnsi="仿宋" w:eastAsia="仿宋_GB2312"/>
          <w:sz w:val="32"/>
          <w:szCs w:val="32"/>
        </w:rPr>
      </w:pPr>
      <w:bookmarkStart w:id="0" w:name="_GoBack"/>
      <w:bookmarkEnd w:id="0"/>
      <w:r>
        <w:rPr>
          <w:rFonts w:hint="eastAsia" w:ascii="仿宋" w:hAnsi="仿宋" w:eastAsia="仿宋"/>
          <w:sz w:val="32"/>
          <w:szCs w:val="32"/>
        </w:rPr>
        <w:t xml:space="preserve">                    </w:t>
      </w:r>
      <w:r>
        <w:rPr>
          <w:rFonts w:hint="eastAsia" w:ascii="仿宋" w:hAnsi="仿宋" w:eastAsia="仿宋"/>
          <w:spacing w:val="5"/>
          <w:kern w:val="0"/>
          <w:sz w:val="32"/>
          <w:szCs w:val="32"/>
          <w:fitText w:val="2720" w:id="2017225177"/>
        </w:rPr>
        <w:t>20</w:t>
      </w:r>
      <w:r>
        <w:rPr>
          <w:rFonts w:hint="eastAsia" w:ascii="仿宋" w:hAnsi="仿宋" w:eastAsia="仿宋"/>
          <w:spacing w:val="5"/>
          <w:kern w:val="0"/>
          <w:sz w:val="32"/>
          <w:szCs w:val="32"/>
          <w:fitText w:val="2720" w:id="2017225177"/>
          <w:lang w:val="en-US" w:eastAsia="zh-CN"/>
        </w:rPr>
        <w:t>22</w:t>
      </w:r>
      <w:r>
        <w:rPr>
          <w:rFonts w:hint="eastAsia" w:ascii="仿宋" w:hAnsi="仿宋" w:eastAsia="仿宋"/>
          <w:spacing w:val="5"/>
          <w:kern w:val="0"/>
          <w:sz w:val="32"/>
          <w:szCs w:val="32"/>
          <w:fitText w:val="2720" w:id="2017225177"/>
        </w:rPr>
        <w:t>年</w:t>
      </w:r>
      <w:r>
        <w:rPr>
          <w:rFonts w:hint="eastAsia" w:ascii="仿宋" w:hAnsi="仿宋" w:eastAsia="仿宋"/>
          <w:spacing w:val="5"/>
          <w:kern w:val="0"/>
          <w:sz w:val="32"/>
          <w:szCs w:val="32"/>
          <w:fitText w:val="2720" w:id="2017225177"/>
          <w:lang w:val="en-US" w:eastAsia="zh-CN"/>
        </w:rPr>
        <w:t>10</w:t>
      </w:r>
      <w:r>
        <w:rPr>
          <w:rFonts w:hint="eastAsia" w:ascii="仿宋" w:hAnsi="仿宋" w:eastAsia="仿宋"/>
          <w:spacing w:val="5"/>
          <w:kern w:val="0"/>
          <w:sz w:val="32"/>
          <w:szCs w:val="32"/>
          <w:fitText w:val="2720" w:id="2017225177"/>
        </w:rPr>
        <w:t>月</w:t>
      </w:r>
      <w:r>
        <w:rPr>
          <w:rFonts w:hint="eastAsia" w:ascii="仿宋" w:hAnsi="仿宋" w:eastAsia="仿宋"/>
          <w:spacing w:val="5"/>
          <w:kern w:val="0"/>
          <w:sz w:val="32"/>
          <w:szCs w:val="32"/>
          <w:fitText w:val="2720" w:id="2017225177"/>
          <w:lang w:val="en-US" w:eastAsia="zh-CN"/>
        </w:rPr>
        <w:t>19</w:t>
      </w:r>
      <w:r>
        <w:rPr>
          <w:rFonts w:hint="eastAsia" w:ascii="仿宋" w:hAnsi="仿宋" w:eastAsia="仿宋"/>
          <w:spacing w:val="3"/>
          <w:kern w:val="0"/>
          <w:sz w:val="32"/>
          <w:szCs w:val="32"/>
          <w:fitText w:val="2720" w:id="2017225177"/>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505A5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rPr>
      <w:rFonts w:ascii="Calibri" w:hAnsi="Calibri"/>
      <w:sz w:val="28"/>
      <w:szCs w:val="22"/>
    </w:rPr>
  </w:style>
  <w:style w:type="paragraph" w:customStyle="1" w:styleId="5">
    <w:name w:val="Body Text Indent"/>
    <w:basedOn w:val="1"/>
    <w:qFormat/>
    <w:uiPriority w:val="0"/>
    <w:pPr>
      <w:ind w:firstLine="630"/>
    </w:pPr>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2022-12-07T08:05:27Z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C9B3901977854F12AEEB6BD6B9CCE560</vt:lpwstr>
  </property>
</Properties>
</file>