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关于规划四路（南大寺路～法云寺东路）道路建设工程可行性研究报告的批复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你单位《关于报批规划四路（南大寺路～法云寺东路）道路建设工程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的请示》及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编制的《规划四路（南大寺路～法云寺东路）道路建设工程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》（报审版）等材料一并收悉。依据</w:t>
      </w:r>
      <w:r>
        <w:rPr>
          <w:rFonts w:hint="eastAsia" w:hAnsi="仿宋_GB2312" w:cs="仿宋_GB2312"/>
          <w:sz w:val="32"/>
          <w:szCs w:val="32"/>
          <w:lang w:val="zh-CN" w:eastAsia="zh-CN"/>
        </w:rPr>
        <w:t>市自然资源和规划局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</w:t>
      </w:r>
      <w:r>
        <w:rPr>
          <w:rFonts w:hint="eastAsia" w:hAnsi="仿宋_GB2312" w:cs="仿宋_GB2312"/>
          <w:sz w:val="32"/>
          <w:szCs w:val="32"/>
          <w:lang w:val="zh-CN" w:eastAsia="zh-CN"/>
        </w:rPr>
        <w:t>用地预审与选址意见书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hAnsi="仿宋_GB2312" w:cs="仿宋_GB2312"/>
          <w:sz w:val="32"/>
          <w:szCs w:val="32"/>
          <w:lang w:val="zh-CN" w:eastAsia="zh-CN"/>
        </w:rPr>
        <w:t>（用字第</w:t>
      </w:r>
      <w:r>
        <w:rPr>
          <w:rFonts w:hint="eastAsia" w:hAnsi="仿宋_GB2312" w:cs="仿宋_GB2312"/>
          <w:sz w:val="32"/>
          <w:szCs w:val="32"/>
          <w:lang w:val="en-US" w:eastAsia="zh-CN"/>
        </w:rPr>
        <w:t>130302202221002号）、海港区发改局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</w:t>
      </w:r>
      <w:r>
        <w:rPr>
          <w:rFonts w:hint="eastAsia" w:hAnsi="仿宋_GB2312" w:cs="仿宋_GB2312"/>
          <w:sz w:val="32"/>
          <w:szCs w:val="32"/>
          <w:lang w:val="zh-CN" w:eastAsia="zh-CN"/>
        </w:rPr>
        <w:t>关于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规划四路（南大寺路～法云寺东路）道路建设工程</w:t>
      </w:r>
      <w:r>
        <w:rPr>
          <w:rFonts w:hint="eastAsia" w:hAnsi="仿宋_GB2312" w:cs="仿宋_GB2312"/>
          <w:bCs/>
          <w:sz w:val="32"/>
          <w:szCs w:val="32"/>
          <w:lang w:eastAsia="zh-CN" w:bidi="ar-SA"/>
        </w:rPr>
        <w:t>社会稳定风险评估审查意见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hAnsi="仿宋_GB2312" w:cs="仿宋_GB2312"/>
          <w:sz w:val="32"/>
          <w:szCs w:val="32"/>
          <w:lang w:val="zh-CN" w:eastAsia="zh-CN"/>
        </w:rPr>
        <w:t>（海发改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〔2021〕</w:t>
      </w:r>
      <w:r>
        <w:rPr>
          <w:rFonts w:hint="eastAsia" w:hAnsi="仿宋_GB2312" w:cs="仿宋_GB2312"/>
          <w:sz w:val="32"/>
          <w:szCs w:val="32"/>
          <w:lang w:val="en-US" w:eastAsia="zh-CN"/>
        </w:rPr>
        <w:t>55号）(低风险)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hAnsi="仿宋_GB2312" w:cs="仿宋_GB2312"/>
          <w:sz w:val="32"/>
          <w:szCs w:val="32"/>
          <w:lang w:val="zh-CN" w:eastAsia="zh-CN"/>
        </w:rPr>
        <w:t>中大宇辰项目管理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有限公司出具的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《规划四路（南大寺路～法云寺东路）道路建设工程可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行性研究报告评估报告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该项目可行性研究报告（报批版）。现将有关内容批复如下：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-SA"/>
        </w:rPr>
        <w:t>规划四路（南大寺路～法云寺东路）道路建设工程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二、项目单位：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市市政工程建设服务中心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三、拟建地点：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海港区西部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西起南大寺路，东至法云寺东路。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四、拟建内容及规模：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建道路长约1083米（中线交点距离），道路等级为城市次干路，规划道路红线为30米，沥青混凝土路面结构。随道路新建桥梁1座（采用1孔20米预制预应力混凝土小箱梁，梁宽2.4米，梁高1.2米，设计横断面30米）及雨水、污水、电缆沟、交通、照明、绿化等市政配套基础设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资估算及资金筹措：项目估算总投资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4389.96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万元。资金筹措：市财政（待上级资金落实后实施）。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六、项目招标按照国家相关法律、法规和经核准后的招标方案执行。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七、请抓紧委托具有相应设计资质的单位编制项目初步设计文件。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八、本文件有效期2年（2年内按程序报批初步设计，否则自动失效）。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4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210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/>
      <w:sz w:val="24"/>
      <w:szCs w:val="20"/>
    </w:rPr>
  </w:style>
  <w:style w:type="paragraph" w:customStyle="1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2022-12-07T03:56:17Z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E32CB3CB409D4708B88F06FFF1FB1ECD</vt:lpwstr>
  </property>
</Properties>
</file>