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秦皇岛市行政审批局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w w:val="97"/>
          <w:kern w:val="0"/>
          <w:sz w:val="44"/>
          <w:szCs w:val="44"/>
          <w:fitText w:val="8140" w:id="1982860905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w w:val="97"/>
          <w:kern w:val="0"/>
          <w:sz w:val="44"/>
          <w:szCs w:val="44"/>
          <w:fitText w:val="8140" w:id="1982860905"/>
          <w:lang w:eastAsia="zh-CN"/>
        </w:rPr>
        <w:t>青龙满族自治县安胜矿业有限责任公</w:t>
      </w:r>
      <w:r>
        <w:rPr>
          <w:rFonts w:hint="eastAsia" w:asciiTheme="majorEastAsia" w:hAnsiTheme="majorEastAsia" w:eastAsiaTheme="majorEastAsia" w:cstheme="majorEastAsia"/>
          <w:b/>
          <w:bCs/>
          <w:spacing w:val="-27"/>
          <w:w w:val="97"/>
          <w:kern w:val="0"/>
          <w:sz w:val="44"/>
          <w:szCs w:val="44"/>
          <w:fitText w:val="8140" w:id="1982860905"/>
          <w:lang w:eastAsia="zh-CN"/>
        </w:rPr>
        <w:t>司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铁矿开采工程项目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的节能审查意见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青龙满族自治县安胜矿业有限责任公司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23" w:rightChars="11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你单位报送的《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青龙满族自治县安胜矿业有限责任公司铁矿开采工程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节能报告》（报审版）等材料收悉。依据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河北跃华工程咨询有限公司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青龙满族自治县安胜矿业有限责任公司铁矿开采工程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节能报告（报批版）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审查报告》，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原则同意京延工程咨询有限公司修订后的该工程项目节能报告（报批版)，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就有关内容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提出以下审查意见：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青龙满族自治县安胜矿业有限责任公司铁矿开采工程项目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通过节能审查。该项目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已经河北省发改委批复核准，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34102.47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开采方式为地下开采，建设地下开采系统及配套设施，购置、安装采矿及运输设备。年开采铁矿石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234万吨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项目符合节能相关法律、法规、标准、规范和政策，用能分析客观、方法科学、结论准确，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源消费量和能效水平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满足我市能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源消费总量和强度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“双控”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要求。该项目年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新增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综合能源消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费量为2036.57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吨标准煤（当量值），其中电能消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费量为1936.01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柴油</w:t>
      </w:r>
      <w:r>
        <w:rPr>
          <w:rFonts w:hint="eastAsia" w:ascii="仿宋_GB2312" w:hAnsi="仿宋_GB2312" w:eastAsia="仿宋_GB2312" w:cs="仿宋_GB2312"/>
          <w:sz w:val="32"/>
          <w:szCs w:val="32"/>
        </w:rPr>
        <w:t>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费量为55.87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机油等其他油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消费量为44.69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源消费量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2.51</w:t>
      </w:r>
      <w:r>
        <w:rPr>
          <w:rFonts w:hint="eastAsia" w:ascii="仿宋_GB2312" w:hAnsi="仿宋_GB2312" w:eastAsia="仿宋_GB2312" w:cs="仿宋_GB2312"/>
          <w:sz w:val="32"/>
          <w:szCs w:val="32"/>
        </w:rPr>
        <w:t>千克标准煤/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吨；工业增加值能耗为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0.6710吨标准煤/万元。该项目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铁矿地下开采单位产品能源消耗限额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》（DB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31336</w:t>
      </w:r>
      <w:r>
        <w:rPr>
          <w:rFonts w:hint="eastAsia" w:ascii="仿宋_GB2312" w:hAnsi="仿宋_GB2312" w:eastAsia="仿宋_GB2312" w:cs="仿宋_GB2312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年能源消费量对全市能源消费增量影响较小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、该项目不涉及煤炭减量替代。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、请你单位认真落实该项目节能报告中各项节能措施，对项目设计、施工、竣工验收以及运营管理进行监督检查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加强用能计量、统计，完善节能目标责任制，深挖节能潜力，努力降低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能耗。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、项目建设内容、能效水平及能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耗种类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等发生重大变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或年能源消费量超过节能审查意见10%及以上的，应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向我局提出变更申请。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" w:firstLine="672" w:firstLineChars="21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、本审查意见有效期为2年。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040" w:firstLineChars="1575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年1月19日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4BB67635"/>
    <w:rsid w:val="7BA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30"/>
    </w:pPr>
    <w:rPr>
      <w:rFonts w:ascii="??_GB2312" w:eastAsia="Times New Roman"/>
      <w:sz w:val="32"/>
    </w:rPr>
  </w:style>
  <w:style w:type="paragraph" w:styleId="3">
    <w:name w:val="Body Text First Indent 2"/>
    <w:basedOn w:val="2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807</Characters>
  <Lines>0</Lines>
  <Paragraphs>0</Paragraphs>
  <TotalTime>0</TotalTime>
  <ScaleCrop>false</ScaleCrop>
  <LinksUpToDate>false</LinksUpToDate>
  <CharactersWithSpaces>807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2023-02-03T02:24:49Z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4FF2BDCA98E540BBA47627270EC0AADC</vt:lpwstr>
  </property>
</Properties>
</file>