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秦皇岛市民政局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关于开展2022年度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市级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社会组织年检工作的通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市管社会团体、社会服务机构：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根据《社会团体登记管理条例》《民办非企业单位登记管理暂行条例》《民办非企业单位年度检查办法》相关规定，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民政局将对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级社会团体、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社会服务机构（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民办非企业单位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2022年度检查工作，现将有关事项通知如下：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bidi="ar-SA"/>
        </w:rPr>
        <w:t>年检范围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登记时间在202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年6月30日（含）之前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的市级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须参加年检；202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以来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级以上等级评估、品牌社会组织荣誉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的社会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简化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程序接受年检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（不需提交纸质财务审计报告）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firstLine="320" w:firstLineChars="100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bidi="ar-SA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bidi="ar-SA"/>
        </w:rPr>
        <w:t>二、年检时间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2023年4月10日——6月30日。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firstLine="320" w:firstLineChars="100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bidi="ar-SA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eastAsia="zh-CN" w:bidi="ar-SA"/>
        </w:rPr>
        <w:t>三、</w:t>
      </w: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bidi="ar-SA"/>
        </w:rPr>
        <w:t>年检方法和步骤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按照全省统一安排，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2022年度年检将使用民政部“民政一体化政务服务平台”进行网上年检。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网上年检填报前应准备好由本地会计师事务所出具的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2022年度财务审计报告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社会组织登记证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法定代表人（负责人）身份信息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等，在全面掌握社会组织基本情况的基础上进行填报。填报的浏览器推荐使用谷歌或360极速模式。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①年度工作报告的填报方法：社会组织进入“民政一体化政务服务平台”（http://zwfw.mca.gov.cn/），已注册账号的社会组织，直接用已注册的账号密码登录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未注册账号的社会组织应先注册账号后登录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eastAsia="zh-CN"/>
        </w:rPr>
        <w:t>（网络平台存在不稳定的现象，如使用正确的账号密码无法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eastAsia="zh-CN"/>
        </w:rPr>
        <w:t>登录，请耐心多次尝试）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。登录后根据组织类别分别选择“社会团体”或“民办非企业单位”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年检年报在线办理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填报界面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，财务报表按照本年度财务审计报告如实填写。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待社管科接收材料后，材料即可带水印打印（材料接收后将无法再修改）。社会组织需再次登录进入“年检系统”，打印一份完整的《202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年度工作报告书》，前往业务主管单位初审盖章（直接登记不用盖）。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《报告书》首页签字盖章，与业务主管单位盖章后的“年检审查意见”页（社会团体报告第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23页，民办非企业单位报告第20页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）一起扫描或拍照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（共两页）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，通过“补充材料上传”栏上传（上传的盖章页应有水印）。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注意：如上传照片，点击“选择文件”后，文件框右下角选择文件处选“所有文件”即可选择上传。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④“查看进度”中显示“登记管理机关审查通过”后，可持社会组织登记证书副本和本年度财务审计报告到市民政局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808室（电话3658012）进行复审盖章。复审合格后，由年检平台统一公示年检结果，即可完成年检。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eastAsia="zh-CN" w:bidi="ar-SA"/>
        </w:rPr>
        <w:t>四</w:t>
      </w: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bidi="ar-SA"/>
        </w:rPr>
        <w:t>、年检审查形式、标准和结论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社会组织管理科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对社会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报送的年检材料进行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接收审查和材料复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核，最终确定年检结论。社会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年检结论分为“年检合格”“年检基本合格”“年检不合格”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对财务有重大问题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、网上填报信息与审计报告不一致、填报资料弄虚作假的，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年检结果将直接定为不合格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。年检结束后，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社管科将对所有社会组织按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3%的比例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进行实地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抽检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本次网上年检公开透明，欢迎广大社会组织对年检过程进行监督和意见建议。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联系电话：0335-3658012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联系人：孙金凤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陈彤辉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地址：海港区迎宾路92号（民政大厦）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8楼808室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附件：1.市级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社会组织网上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年检填报流程图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社会团体2022年度报告书填报指南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3.民办非企业单位2022年度工作报告书填报指南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4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2023年4月6日</w:t>
      </w:r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3C6CD"/>
    <w:multiLevelType w:val="singleLevel"/>
    <w:tmpl w:val="88C3C6C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ODUxY2RiZDJjOWM2N2E4MjliMTZlNGEyM2Y2ZTEifQ=="/>
  </w:docVars>
  <w:rsids>
    <w:rsidRoot w:val="12806346"/>
    <w:rsid w:val="12806346"/>
    <w:rsid w:val="20765F47"/>
    <w:rsid w:val="4D0F1FC6"/>
    <w:rsid w:val="6F3F0B11"/>
    <w:rsid w:val="76D46153"/>
    <w:rsid w:val="77BF73A1"/>
    <w:rsid w:val="7C0345F3"/>
    <w:rsid w:val="9FDC8E55"/>
    <w:rsid w:val="B6AEEB97"/>
    <w:rsid w:val="E64FD7E7"/>
    <w:rsid w:val="FA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1117</Words>
  <Characters>1255</Characters>
  <Lines>0</Lines>
  <Paragraphs>0</Paragraphs>
  <TotalTime>145</TotalTime>
  <ScaleCrop>false</ScaleCrop>
  <LinksUpToDate>false</LinksUpToDate>
  <CharactersWithSpaces>1256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2023-04-05T19:06:00Z</dcterms:created>
  <dc:creator>ps1711304</dc:creator>
  <cp:lastModifiedBy>钱李</cp:lastModifiedBy>
  <cp:lastPrinted>2023-04-07T14:35:00Z</cp:lastPrinted>
  <dcterms:modified xsi:type="dcterms:W3CDTF">2024-01-05T08:06:15Z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2B943CC032E84AC191C804C753EFB4C7</vt:lpwstr>
  </property>
</Properties>
</file>