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page" w:tblpXSpec="center" w:tblpY="906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rPr>
          <w:trHeight w:val="1647" w:hRule="atLeast"/>
          <w:jc w:val="center"/>
        </w:trPr>
        <w:tc>
          <w:tcPr>
            <w:tcW w:w="10080" w:type="dxa"/>
          </w:tcPr>
          <w:p>
            <w:pPr>
              <w:snapToGrid w:val="0"/>
              <w:rPr>
                <w:rFonts w:ascii="宋体" w:hAnsi="宋体" w:eastAsia="宋体" w:cs="宋体"/>
                <w:sz w:val="90"/>
                <w:szCs w:val="90"/>
              </w:rPr>
            </w:pP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974725</wp:posOffset>
                      </wp:positionV>
                      <wp:extent cx="6590030" cy="635"/>
                      <wp:effectExtent l="0" t="0" r="0" b="0"/>
                      <wp:wrapNone/>
                      <wp:docPr id="3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0030" cy="635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flip:x;margin-left:-13.95pt;margin-top:76.75pt;height:0.05pt;width:518.9pt;z-index:251660288;mso-width-relative:page;mso-height-relative:page;" filled="f" stroked="t" coordsize="21600,21600" o:gfxdata="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zGNtK1wAAAAwBAAAPAAAA&#10;AAAAAAEAIAAAACIAAABkcnMvZG93bnJldi54bWxQSwECFAAUAAAACACHTuJAYTPlcN0BAADaAwAA&#10;DgAAAAAAAAABACAAAAAmAQAAZHJzL2Uyb0RvYy54bWxQSwUGAAAAAAYABgBZAQAAdQUAAAAA&#10;">
                      <v:fill on="f" focussize="0,0"/>
                      <v:stroke weight="2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FF0000"/>
                <w:w w:val="50"/>
                <w:sz w:val="112"/>
                <w:szCs w:val="112"/>
              </w:rPr>
              <w:t>秦皇岛市建设投资有限责任公司</w:t>
            </w:r>
            <w:r>
              <w:rPr>
                <w:rFonts w:hint="eastAsia" w:ascii="宋体" w:hAnsi="宋体" w:eastAsia="宋体" w:cs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899795</wp:posOffset>
                      </wp:positionV>
                      <wp:extent cx="6590030" cy="635"/>
                      <wp:effectExtent l="0" t="25400" r="1270" b="31115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0030" cy="635"/>
                              </a:xfrm>
                              <a:prstGeom prst="line">
                                <a:avLst/>
                              </a:prstGeom>
                              <a:ln w="508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flip:x;margin-left:-13.05pt;margin-top:70.85pt;height:0.05pt;width:518.9pt;z-index:251659264;mso-width-relative:page;mso-height-relative:page;" filled="f" stroked="t" coordsize="21600,21600" o:gfxdata="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skKeJ2gAAAAwBAAAP&#10;AAAAAAAAAAEAIAAAACIAAABkcnMvZG93bnJldi54bWxQSwECFAAUAAAACACHTuJAVpwNI90BAADa&#10;AwAADgAAAAAAAAABACAAAAApAQAAZHJzL2Uyb0RvYy54bWxQSwUGAAAAAAYABgBZAQAAeAUAAAAA&#10;">
                      <v:fill on="f" focussize="0,0"/>
                      <v:stroke weight="4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FF0000"/>
                <w:w w:val="50"/>
                <w:sz w:val="112"/>
                <w:szCs w:val="112"/>
              </w:rPr>
              <w:t>文件笺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vertAlign w:val="baseline"/>
          <w:lang w:eastAsia="zh-CN"/>
        </w:rPr>
        <w:t>秦皇岛市建设投资有限责任公司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vertAlign w:val="baseli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vertAlign w:val="baseline"/>
          <w:lang w:eastAsia="zh-CN"/>
        </w:rPr>
        <w:t>信息公开披露（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vertAlign w:val="baseline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vertAlign w:val="baseline"/>
          <w:lang w:eastAsia="zh-CN"/>
        </w:rPr>
        <w:t>）</w:t>
      </w:r>
    </w:p>
    <w:bookmarkEnd w:id="0"/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/>
          <w:b w:val="0"/>
          <w:i w:val="0"/>
          <w:caps w:val="0"/>
          <w:color w:val="auto"/>
          <w:spacing w:val="0"/>
          <w:sz w:val="39"/>
          <w:szCs w:val="39"/>
          <w:u w:val="none"/>
          <w:shd w:val="clear" w:color="auto" w:fill="FFFFFF"/>
          <w:vertAlign w:val="baseline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一、</w:t>
      </w: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企业简介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秦皇岛市建设投资有限责任公司（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简称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“市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建投公司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）成立于2008年12月1日，是市政府批准设立的国有独资公司，注册资金1亿元人民币，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auto"/>
          <w:lang w:eastAsia="zh-CN"/>
        </w:rPr>
        <w:t>现有职工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shd w:val="clear" w:color="auto" w:fill="auto"/>
          <w:lang w:val="en-US" w:eastAsia="zh-CN"/>
        </w:rPr>
        <w:t>51人，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</w:rPr>
        <w:t>经营范围主要包括按政府授权经营管理国有资产，对基础产业、基础设施业投资与管理</w:t>
      </w:r>
      <w:r>
        <w:rPr>
          <w:rStyle w:val="21"/>
          <w:rFonts w:hint="eastAsia" w:ascii="仿宋" w:hAnsi="仿宋" w:eastAsia="仿宋" w:cs="仿宋"/>
          <w:color w:val="auto"/>
          <w:sz w:val="32"/>
          <w:szCs w:val="32"/>
          <w:lang w:eastAsia="zh-CN"/>
        </w:rPr>
        <w:t>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 xml:space="preserve">  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建投公司下设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家全资子公司，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参股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子公司。主要从事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房地产开发、物业管理服务；基础设施建设及配套工程建设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业务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土地开发、整理、复垦；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对所投资医疗企业及医院的经营管理等。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二、</w:t>
      </w: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工商注册信息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 xml:space="preserve">      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建投公司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成立于2008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12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，注册资本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10000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万人民币，注册地位于秦皇岛市海港区迎宾路1号。经营范围：按政府授权经营管理国有资产，对基础产业、基础设施业投资与管理，土地整治服务、城镇基准地价评估服务，房地产开发、销售，土壤污染治理与修复服务，防洪除涝设施管理服务，园林绿化工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</w:pP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组织体系</w:t>
      </w:r>
    </w:p>
    <w:p>
      <w:pPr>
        <w:pStyle w:val="8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baseline"/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</w:pPr>
    </w:p>
    <w:p>
      <w:pPr>
        <w:pStyle w:val="8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baseline"/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instrText xml:space="preserve">INCLUDEPICTURE \d "http://static.jznyjt.com/uploadfile/13/image/20211028/1635406092504762.png" \* MERGEFORMATINET </w:instrTex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t="1" style="height:24pt;width:24pt;" filled="f" strok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J0E/HQAAAAAwEAAA8A&#10;AAAAAAAAAQAgAAAAIgAAAGRycy9kb3ducmV2LnhtbFBLAQIUABQAAAAIAIdO4kBhnTolrQEAAGED&#10;AAAOAAAAAAAAAAEAIAAAAB8BAABkcnMvZTJvRG9jLnhtbFBLBQYAAAAABgAGAFkBAAA+BQAAAAA=&#10;">
                <v:path/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公司领导班子成员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姓名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魏颂涛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支部书记、董事长、总经理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郭建光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支部委员、董事、副总经理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杨雁晖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支部委员、董事、副总经理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周鋆星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支部委员、监事会主席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林宇</w:t>
            </w:r>
          </w:p>
        </w:tc>
        <w:tc>
          <w:tcPr>
            <w:tcW w:w="4905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</w:rPr>
              <w:t>副总经理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2560" w:firstLineChars="800"/>
        <w:jc w:val="both"/>
        <w:textAlignment w:val="baseline"/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vertAlign w:val="baseline"/>
        </w:rPr>
      </w:pP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vertAlign w:val="baseline"/>
          <w:lang w:eastAsia="zh-CN"/>
        </w:rPr>
        <w:t>公司</w:t>
      </w: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vertAlign w:val="baseline"/>
        </w:rPr>
        <w:t>组织架构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baseline"/>
        <w:rPr>
          <w:rStyle w:val="14"/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</w:pPr>
      <w:r>
        <w:rPr>
          <w:rStyle w:val="14"/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drawing>
          <wp:inline distT="0" distB="0" distL="114300" distR="114300">
            <wp:extent cx="5224780" cy="5822950"/>
            <wp:effectExtent l="0" t="0" r="13970" b="6350"/>
            <wp:docPr id="1" name="图片 2" descr="公司组织架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公司组织架构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478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baseline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eastAsia="zh-CN"/>
        </w:rPr>
      </w:pP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四</w:t>
      </w: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、</w:t>
      </w: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财务状况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截止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2021年底，公司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资产总额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75674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万元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负债总额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53309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万元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所有者权益22365万元。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五</w:t>
      </w: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、薪酬待遇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Style w:val="14"/>
          <w:rFonts w:hint="default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</w:pPr>
      <w:r>
        <w:rPr>
          <w:rStyle w:val="1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企业负责人薪酬水平尚未最终核定</w:t>
      </w:r>
      <w:r>
        <w:rPr>
          <w:rStyle w:val="1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，暂无准确数据。经初步测算职工</w:t>
      </w:r>
      <w:r>
        <w:rPr>
          <w:rStyle w:val="1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2021年年</w:t>
      </w:r>
      <w:r>
        <w:rPr>
          <w:rStyle w:val="1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平均工资（不含领导班子成员）为</w:t>
      </w:r>
      <w:r>
        <w:rPr>
          <w:rStyle w:val="1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</w:rPr>
        <w:t>5.38万元。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baseline"/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</w:pP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重大事项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按照市政府议定和市国资委《关于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秦山化工港、铁路专用线管理一体化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及铁路整合工作的实施方案》要求，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市国资委指导和市发改委业务帮助下，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通过以成立港铁公司为项目运作主体，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</w:rPr>
        <w:t>开展地方铁路在内的地方铁路资源以及秦山化工码头整合工作，同时进行专用铁路线建设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对地方铁路公司尽职调查工作已经结束，草拟了《收购方案》和《应对意见》经律师审核已上报市国资委审阅。专用铁路线已由铁设集团完成预可研编制工作，初测和可研已完成招标，正在编制当中。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baseline"/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</w:pP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重要人事变动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1.经市国资委研究，10月，提名林宇为公司副总经理，经董事会研究通过了该任命事项。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2.经公司研究，10月，任命李潭同志为总经理助理，兼任项目（咨询）部部长。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3.经公司研究，11月，任命牛合军同志为党建和人事部副部长。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</w:pP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八</w:t>
      </w: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</w:rPr>
        <w:t>、员工</w:t>
      </w: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招聘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baseline"/>
        <w:rPr>
          <w:rStyle w:val="1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</w:pPr>
      <w:r>
        <w:rPr>
          <w:rStyle w:val="14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Style w:val="14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vertAlign w:val="baseline"/>
          <w:lang w:eastAsia="zh-CN"/>
        </w:rPr>
        <w:t>九、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社会责任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0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40"/>
        </w:rPr>
        <w:t>强化使命担当，弘扬优良传统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提升</w:t>
      </w:r>
      <w:r>
        <w:rPr>
          <w:rFonts w:hint="eastAsia" w:ascii="楷体" w:hAnsi="楷体" w:eastAsia="楷体" w:cs="楷体"/>
          <w:sz w:val="32"/>
          <w:szCs w:val="40"/>
        </w:rPr>
        <w:t>双拥工作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再上新台阶。</w:t>
      </w:r>
      <w:r>
        <w:rPr>
          <w:rFonts w:hint="eastAsia" w:ascii="仿宋" w:hAnsi="仿宋" w:eastAsia="仿宋" w:cs="仿宋"/>
          <w:sz w:val="32"/>
          <w:szCs w:val="40"/>
        </w:rPr>
        <w:t>公司将双拥工作列入重要议事日程，成立了公司爱国拥军领导小组及办公室，建立了拥军相关工作制度，为公司高质量开展退役军人安置、随军家属帮扶、拥军支前保障、解决实际问题、营造浓厚氛围，为推动双拥工作迈上新台阶提供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40"/>
        </w:rPr>
        <w:t>坚强的组织和制度保障。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截至目前，</w:t>
      </w:r>
      <w:r>
        <w:rPr>
          <w:rFonts w:hint="eastAsia" w:ascii="仿宋" w:hAnsi="仿宋" w:eastAsia="仿宋" w:cs="仿宋"/>
          <w:sz w:val="32"/>
          <w:szCs w:val="40"/>
        </w:rPr>
        <w:t>共计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接收</w:t>
      </w:r>
      <w:r>
        <w:rPr>
          <w:rFonts w:hint="eastAsia" w:ascii="仿宋" w:hAnsi="仿宋" w:eastAsia="仿宋" w:cs="仿宋"/>
          <w:sz w:val="32"/>
          <w:szCs w:val="40"/>
        </w:rPr>
        <w:t>安置退役军人8名，军属1名，切实做到了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拥军优属</w:t>
      </w:r>
      <w:r>
        <w:rPr>
          <w:rFonts w:hint="eastAsia" w:ascii="仿宋" w:hAnsi="仿宋" w:eastAsia="仿宋" w:cs="仿宋"/>
          <w:sz w:val="32"/>
          <w:szCs w:val="40"/>
        </w:rPr>
        <w:t>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解决了退役军人后顾之忧。</w:t>
      </w:r>
      <w:r>
        <w:rPr>
          <w:rFonts w:hint="eastAsia" w:ascii="仿宋" w:hAnsi="仿宋" w:eastAsia="仿宋" w:cs="仿宋"/>
          <w:sz w:val="32"/>
          <w:szCs w:val="40"/>
        </w:rPr>
        <w:t>安置退役军人军属数量占公司总人数32.1%，该项指标处于市属国有企业领先水平。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支部不断推动双拥工作开展，按照双拥工作部署，积极落实企业责任，6月份公司加入秦皇岛市爱国拥军联合会，为今后创建“双拥模范单位”和常态化双拥工作奠定基础。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（二）精神文明建设等特色工作取得成果。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支部高度重视为民志愿服务活动，一年来，党支部共计组织志愿服务活动12次，同志们深入街道社区，来到公共场所，通过参加义务劳动，做为民服务志愿者，宣传环卫知识等形式为群众做好事。服务了人民群众，提升了公司整体形象。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公司深入开展“我为群众办实事”实践活动。赴北戴河新村，协调解决群众关心的隔音窗清点项目中存在的问题。组织京秦客专专班先行拆除原京山铁路上跨国道G102—线废弃铁路桥和原京山铁路上跨海政里小区道路废弃铁路桥，用实际行动展现了党史学习教育成果，真正解决基层群众“急难愁盼”问题。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三是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参加文明单位评选。支部积极参与2018-2020年度市文明单位评选工作，今年以来，各方面按照文明单位评选要求完善相关工作，进行了专项整治工作，从思想上和行动上提升创建文明单位的效果，做好充分准备，7月13日市文明办对公司创建市文明单位工作进行了检查指导，给予了充分肯定，经过公司上下的共同努力支部在精神文明建设方面取得了显著进步，为成功创建市级“文明单位”打下了坚实基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（三）充分发挥工会职能 保障职工权益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为保障职工合法权益，充分发挥工会职能。及时按照上级部门要求开展职工大病医疗互助等专项活动，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密切联系群众，倾听职工心声。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组织职工参与无偿献血活动，开展夏日送清凉等活动。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切实解决职工工作及生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活中遇到的困难，为职工谋取更大的福利。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rPr>
          <w:b w:val="0"/>
          <w:bCs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年，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市建投公司</w:t>
      </w:r>
      <w:r>
        <w:rPr>
          <w:rFonts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在市国资委党委的坚强领导下，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秉持着以党建促经营，以经营谋发展的思路理念，坚决贯彻落实市委市政府、市国资委党委的各项决策部署，以服务我市央企项目落地、促进港铁一体化整合、实现我市铁路基础产业转型升级为抓手，从秦皇岛市第“十四五”这一战略性、全局性目标出发，抢抓重大战略机遇，踏上发展的新征程！</w:t>
      </w:r>
    </w:p>
    <w:p>
      <w:pPr>
        <w:pStyle w:val="2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sectPr>
      <w:footerReference r:id="rId3" w:type="default"/>
      <w:pgSz w:w="11906" w:h="16838"/>
      <w:pgMar w:top="1138" w:right="1474" w:bottom="162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sJAj3VAAAABgEAAA8AAAAAAAAAAQAgAAAAIgAA&#10;AGRycy9kb3ducmV2LnhtbFBLAQIUABQAAAAIAIdO4kClB96H0gEAAKMDAAAOAAAAAAAAAAEAIAAA&#10;ACQ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75437"/>
    <w:multiLevelType w:val="singleLevel"/>
    <w:tmpl w:val="B697543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1BFC0ED"/>
    <w:multiLevelType w:val="singleLevel"/>
    <w:tmpl w:val="C1BFC0E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MDRhODE3MmE2MzJjZjc0Mjc5YTUzOGZmMGVkZTUifQ=="/>
  </w:docVars>
  <w:rsids>
    <w:rsidRoot w:val="00A7015C"/>
    <w:rsid w:val="000551EF"/>
    <w:rsid w:val="00097ACC"/>
    <w:rsid w:val="001432A2"/>
    <w:rsid w:val="00186171"/>
    <w:rsid w:val="001A5FD5"/>
    <w:rsid w:val="001C49BA"/>
    <w:rsid w:val="001F6FF2"/>
    <w:rsid w:val="001F7B7C"/>
    <w:rsid w:val="0026692D"/>
    <w:rsid w:val="00273FB6"/>
    <w:rsid w:val="002A0536"/>
    <w:rsid w:val="002B481B"/>
    <w:rsid w:val="002D73DA"/>
    <w:rsid w:val="00302FC4"/>
    <w:rsid w:val="00335061"/>
    <w:rsid w:val="00372BF9"/>
    <w:rsid w:val="003C6A47"/>
    <w:rsid w:val="00413350"/>
    <w:rsid w:val="004231FF"/>
    <w:rsid w:val="004A0D21"/>
    <w:rsid w:val="004B691A"/>
    <w:rsid w:val="004C7B07"/>
    <w:rsid w:val="004D68F7"/>
    <w:rsid w:val="004E4B36"/>
    <w:rsid w:val="00552D81"/>
    <w:rsid w:val="005D42D6"/>
    <w:rsid w:val="005F15F3"/>
    <w:rsid w:val="00624BAE"/>
    <w:rsid w:val="00674B8E"/>
    <w:rsid w:val="006956B4"/>
    <w:rsid w:val="006F4500"/>
    <w:rsid w:val="007639D2"/>
    <w:rsid w:val="00786960"/>
    <w:rsid w:val="00882A35"/>
    <w:rsid w:val="008E0CAA"/>
    <w:rsid w:val="009C5AF8"/>
    <w:rsid w:val="009D0402"/>
    <w:rsid w:val="009E48E2"/>
    <w:rsid w:val="00A7015C"/>
    <w:rsid w:val="00A7507A"/>
    <w:rsid w:val="00A80856"/>
    <w:rsid w:val="00AA431E"/>
    <w:rsid w:val="00AC58EA"/>
    <w:rsid w:val="00AE651E"/>
    <w:rsid w:val="00AE7C82"/>
    <w:rsid w:val="00B51685"/>
    <w:rsid w:val="00BB5671"/>
    <w:rsid w:val="00BD399E"/>
    <w:rsid w:val="00C552EA"/>
    <w:rsid w:val="00C70C0D"/>
    <w:rsid w:val="00C80B0E"/>
    <w:rsid w:val="00CB623F"/>
    <w:rsid w:val="00CE0A57"/>
    <w:rsid w:val="00D80ECD"/>
    <w:rsid w:val="00D913DC"/>
    <w:rsid w:val="00E527E1"/>
    <w:rsid w:val="00E9071A"/>
    <w:rsid w:val="00EF6022"/>
    <w:rsid w:val="00F375B2"/>
    <w:rsid w:val="00F442DB"/>
    <w:rsid w:val="00F62911"/>
    <w:rsid w:val="00FA0E29"/>
    <w:rsid w:val="00FD3F30"/>
    <w:rsid w:val="0285418F"/>
    <w:rsid w:val="0B114967"/>
    <w:rsid w:val="10E24927"/>
    <w:rsid w:val="11F84060"/>
    <w:rsid w:val="12011EC7"/>
    <w:rsid w:val="16264E91"/>
    <w:rsid w:val="1CF135C5"/>
    <w:rsid w:val="1E114F52"/>
    <w:rsid w:val="1FC02071"/>
    <w:rsid w:val="253114D3"/>
    <w:rsid w:val="255A57AA"/>
    <w:rsid w:val="27281793"/>
    <w:rsid w:val="29556BC3"/>
    <w:rsid w:val="2985242E"/>
    <w:rsid w:val="2D2135EE"/>
    <w:rsid w:val="2DD81DFC"/>
    <w:rsid w:val="303E66A3"/>
    <w:rsid w:val="32E53ABB"/>
    <w:rsid w:val="33B835ED"/>
    <w:rsid w:val="34476BC9"/>
    <w:rsid w:val="34B65AB4"/>
    <w:rsid w:val="38A91A2E"/>
    <w:rsid w:val="3C4A31B9"/>
    <w:rsid w:val="3F1C5A3A"/>
    <w:rsid w:val="4F8D77AB"/>
    <w:rsid w:val="59DC7367"/>
    <w:rsid w:val="5AEE5E1A"/>
    <w:rsid w:val="64BA5E95"/>
    <w:rsid w:val="68721717"/>
    <w:rsid w:val="6AA96623"/>
    <w:rsid w:val="6E8F18D3"/>
    <w:rsid w:val="6F4D6402"/>
    <w:rsid w:val="71BD662A"/>
    <w:rsid w:val="727D3192"/>
    <w:rsid w:val="77A91F10"/>
    <w:rsid w:val="784B5AE0"/>
    <w:rsid w:val="7AAF67FA"/>
    <w:rsid w:val="7B1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0"/>
    <w:pPr>
      <w:keepNext/>
      <w:keepLines/>
      <w:spacing w:before="340" w:after="330" w:line="600" w:lineRule="exact"/>
      <w:jc w:val="center"/>
      <w:outlineLvl w:val="0"/>
    </w:pPr>
    <w:rPr>
      <w:rFonts w:eastAsia="方正小标宋简体" w:cstheme="minorBidi"/>
      <w:kern w:val="44"/>
      <w:sz w:val="44"/>
      <w:szCs w:val="2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4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link w:val="24"/>
    <w:qFormat/>
    <w:uiPriority w:val="0"/>
    <w:pPr>
      <w:spacing w:beforeLines="50" w:afterLines="50" w:line="420" w:lineRule="exact"/>
      <w:jc w:val="center"/>
      <w:outlineLvl w:val="0"/>
    </w:pPr>
    <w:rPr>
      <w:rFonts w:ascii="Cambria" w:hAnsi="Cambria" w:eastAsia="宋体"/>
      <w:b/>
      <w:bCs/>
      <w:szCs w:val="32"/>
    </w:rPr>
  </w:style>
  <w:style w:type="paragraph" w:styleId="10">
    <w:name w:val="Body Text First Indent 2"/>
    <w:basedOn w:val="1"/>
    <w:next w:val="1"/>
    <w:link w:val="20"/>
    <w:unhideWhenUsed/>
    <w:qFormat/>
    <w:uiPriority w:val="99"/>
    <w:pPr>
      <w:ind w:firstLine="420" w:firstLineChars="200"/>
    </w:pPr>
    <w:rPr>
      <w:rFonts w:ascii="Calibri" w:hAnsi="Calibri" w:eastAsia="宋体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qFormat/>
    <w:uiPriority w:val="0"/>
    <w:rPr>
      <w:color w:val="1F2021"/>
      <w:u w:val="none"/>
    </w:rPr>
  </w:style>
  <w:style w:type="character" w:customStyle="1" w:styleId="17">
    <w:name w:val="页眉 Char"/>
    <w:basedOn w:val="13"/>
    <w:link w:val="7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semiHidden/>
    <w:qFormat/>
    <w:uiPriority w:val="99"/>
    <w:rPr>
      <w:sz w:val="18"/>
      <w:szCs w:val="18"/>
    </w:rPr>
  </w:style>
  <w:style w:type="character" w:customStyle="1" w:styleId="19">
    <w:name w:val="正文文本缩进 Char"/>
    <w:basedOn w:val="13"/>
    <w:link w:val="4"/>
    <w:semiHidden/>
    <w:qFormat/>
    <w:uiPriority w:val="99"/>
    <w:rPr>
      <w:rFonts w:ascii="Times New Roman" w:hAnsi="Times New Roman" w:eastAsia="仿宋" w:cs="Times New Roman"/>
      <w:sz w:val="32"/>
      <w:szCs w:val="24"/>
    </w:rPr>
  </w:style>
  <w:style w:type="character" w:customStyle="1" w:styleId="20">
    <w:name w:val="正文首行缩进 2 Char"/>
    <w:basedOn w:val="19"/>
    <w:link w:val="10"/>
    <w:qFormat/>
    <w:uiPriority w:val="99"/>
    <w:rPr>
      <w:rFonts w:ascii="Calibri" w:hAnsi="Calibri" w:eastAsia="宋体" w:cs="Times New Roman"/>
      <w:sz w:val="32"/>
      <w:szCs w:val="24"/>
    </w:rPr>
  </w:style>
  <w:style w:type="character" w:customStyle="1" w:styleId="21">
    <w:name w:val="NormalCharacter"/>
    <w:qFormat/>
    <w:uiPriority w:val="0"/>
  </w:style>
  <w:style w:type="character" w:customStyle="1" w:styleId="22">
    <w:name w:val="批注框文本 Char"/>
    <w:basedOn w:val="13"/>
    <w:link w:val="5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3">
    <w:name w:val="标题 1 Char"/>
    <w:basedOn w:val="13"/>
    <w:link w:val="3"/>
    <w:qFormat/>
    <w:uiPriority w:val="0"/>
    <w:rPr>
      <w:rFonts w:ascii="Times New Roman" w:hAnsi="Times New Roman" w:eastAsia="方正小标宋简体"/>
      <w:kern w:val="44"/>
      <w:sz w:val="44"/>
      <w:szCs w:val="22"/>
    </w:rPr>
  </w:style>
  <w:style w:type="character" w:customStyle="1" w:styleId="24">
    <w:name w:val="标题 Char"/>
    <w:basedOn w:val="13"/>
    <w:link w:val="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93B47-7A00-4CF1-A16E-4D8F042C1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3680</Words>
  <Characters>3746</Characters>
  <Lines>26</Lines>
  <Paragraphs>7</Paragraphs>
  <TotalTime>2</TotalTime>
  <ScaleCrop>false</ScaleCrop>
  <LinksUpToDate>false</LinksUpToDate>
  <CharactersWithSpaces>3773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2022-03-11T06:26:00Z</dcterms:created>
  <dc:creator>wei</dc:creator>
  <cp:lastModifiedBy>良伟</cp:lastModifiedBy>
  <cp:lastPrinted>2022-06-30T02:12:00Z</cp:lastPrinted>
  <dcterms:modified xsi:type="dcterms:W3CDTF">2022-08-19T02:36:58Z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B341505C380A46FE9E87BD6C428E2A4D</vt:lpwstr>
  </property>
</Properties>
</file>