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  <w:t>关于规划四路（南大寺路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-法云寺东路）道路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  <w:t>建设工程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  <w:t>建议书的批复</w:t>
      </w:r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秦皇岛市住房和城乡建设局：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你单位《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关于报批规划四路（南大寺路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-法云寺东路）道路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建议书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的请示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秦皇岛市市政设计院有限公司编制的《规划四路（南大寺路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-法云寺东路）道路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建设工程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建议书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》等材料一并收悉。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为推进海港区西部片区发展，满足周边居民出行条件，保证市政管网接入，改善西部片区路网结构，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依据2021年3月17日秦皇岛市人民政府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市长办公会西部片区征拆工作专题会议备忘、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市领导在《关于开展2022年市政道桥储备项目前期工作的请示》上的批示精神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收文请字171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号）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和秦皇岛市财政局出具的《项目资金落实情况审批表》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No.99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，经研究，原则同意该项目建议书。现将有关内容批复如下：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规划四路（南大寺路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-法云寺东路）道路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建设工程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20" w:lineRule="exact"/>
        <w:ind w:left="630" w:lef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二、项目实施单位：秦皇岛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 w:bidi="ar-SA"/>
        </w:rPr>
        <w:t>市市政工程建设服务中心</w:t>
      </w:r>
      <w:r>
        <w:rPr>
          <w:rFonts w:hint="eastAsia" w:ascii="仿宋_GB2312" w:hAnsi="仿宋_GB2312" w:eastAsia="仿宋_GB2312" w:cs="仿宋_GB2312"/>
          <w:kern w:val="2"/>
          <w:sz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三、拟建地点：</w:t>
      </w:r>
      <w:r>
        <w:rPr>
          <w:rFonts w:hint="eastAsia" w:ascii="仿宋_GB2312" w:hAnsi="仿宋_GB2312" w:eastAsia="仿宋_GB2312" w:cs="仿宋_GB2312"/>
        </w:rPr>
        <w:t>海港区</w:t>
      </w:r>
      <w:r>
        <w:rPr>
          <w:rFonts w:hint="eastAsia" w:hAnsi="仿宋_GB2312" w:cs="仿宋_GB2312"/>
          <w:lang w:eastAsia="zh-CN"/>
        </w:rPr>
        <w:t>西部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left="103" w:leftChars="49" w:firstLine="470" w:firstLineChars="147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四、拟建内容及规模：新建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规划四路（南大寺路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-法云寺东路）道路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建设工程西起南大寺路，东至法云寺东路，长约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1083米，道路等级为城市次干路，规划道路红线为30米，设计速度为40千米小时，采用沥青混凝土路面结构。随道路新建桥梁、雨水、污水、电缆沟、绿化、照明、交通安全等市政配套基础设施</w:t>
      </w:r>
      <w:r>
        <w:rPr>
          <w:rFonts w:hint="eastAsia" w:ascii="仿宋_GB2312" w:hAnsi="仿宋_GB2312" w:eastAsia="仿宋_GB2312" w:cs="仿宋_GB2312"/>
          <w:kern w:val="2"/>
          <w:sz w:val="32"/>
          <w:szCs w:val="2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五、投资匡算及资金筹措：该项目匡算总投资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4395.16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万元。资金来源为：市财政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投资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六、请抓紧委托具有相应资质的咨询机构编制项目可行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性研究报告，按程序报我局审批。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七、本文件有效期2年（2年内按程序报批可行性研究报告，否则自动失效）。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4624" w:firstLineChars="14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20" w:lineRule="exact"/>
        <w:ind w:right="-2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22年5月31日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6AD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customStyle="1" w:styleId="6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678</Characters>
  <Lines>0</Lines>
  <Paragraphs>0</Paragraphs>
  <TotalTime>0</TotalTime>
  <ScaleCrop>false</ScaleCrop>
  <LinksUpToDate>false</LinksUpToDate>
  <CharactersWithSpaces>700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2022-06-01T07:36:00Z</dcterms:created>
  <dc:creator>lenovo</dc:creator>
  <cp:lastModifiedBy>''初识</cp:lastModifiedBy>
  <dcterms:modified xsi:type="dcterms:W3CDTF">2022-06-01T07:36:07Z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7548084461FE432CA1C38EB66B5BAEB0</vt:lpwstr>
  </property>
</Properties>
</file>