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秦皇岛市行政审批局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关于服务里二期改造项目（一区）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的节能审查意见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秦皇岛金龙房地产开发有限公司：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23" w:rightChars="11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你单位报送的《服务里二期改造项目（一区）节能报告》（报审版）等材料收悉。依据山东齐信全程工程咨询有限公司出具的《服务里二期改造项目（一区）节能报告（报批版）审查报告》，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原则同意秦皇岛市建筑设计院有限公司修订后的该项目节能报告（报批版)，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就有关内容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提出以下审查意见：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一、原则同意服务里二期改造项目（一区）通过节能审查。该项目总投资127574.95万元，总建筑面积110655平方米，其中地上建筑面积71191平方米、地下建筑面积39464平方米，包括住宅、配套公建、地下车库等。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项目符合节能相关法律法规、标准规范和政策，用能分析客观、方法科学、结论准确，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源消费量和能效水平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满足我市能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源消费总量和强度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“双控”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要求。该项目年综合能源消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</w:t>
      </w:r>
      <w:r>
        <w:rPr>
          <w:rFonts w:hint="eastAsia" w:ascii="仿宋_GB2312" w:hAnsi="仿宋_GB2312" w:eastAsia="仿宋_GB2312" w:cs="仿宋_GB2312"/>
          <w:sz w:val="32"/>
          <w:szCs w:val="32"/>
        </w:rPr>
        <w:t>1621.21吨标准煤（当量值），其中电能消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</w:t>
      </w:r>
      <w:r>
        <w:rPr>
          <w:rFonts w:hint="eastAsia" w:ascii="仿宋_GB2312" w:hAnsi="仿宋_GB2312" w:eastAsia="仿宋_GB2312" w:cs="仿宋_GB2312"/>
          <w:sz w:val="32"/>
          <w:szCs w:val="32"/>
        </w:rPr>
        <w:t>1179.06吨标准煤、热能消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</w:t>
      </w:r>
      <w:r>
        <w:rPr>
          <w:rFonts w:hint="eastAsia" w:ascii="仿宋_GB2312" w:hAnsi="仿宋_GB2312" w:eastAsia="仿宋_GB2312" w:cs="仿宋_GB2312"/>
          <w:sz w:val="32"/>
          <w:szCs w:val="32"/>
        </w:rPr>
        <w:t>388.08吨标准煤、天燃气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消费量为</w:t>
      </w:r>
      <w:r>
        <w:rPr>
          <w:rFonts w:hint="eastAsia" w:ascii="仿宋_GB2312" w:hAnsi="仿宋_GB2312" w:eastAsia="仿宋_GB2312" w:cs="仿宋_GB2312"/>
          <w:sz w:val="32"/>
          <w:szCs w:val="32"/>
        </w:rPr>
        <w:t>42.58吨标准煤、新水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消费量为</w:t>
      </w:r>
      <w:r>
        <w:rPr>
          <w:rFonts w:hint="eastAsia" w:ascii="仿宋_GB2312" w:hAnsi="仿宋_GB2312" w:eastAsia="仿宋_GB2312" w:cs="仿宋_GB2312"/>
          <w:sz w:val="32"/>
          <w:szCs w:val="32"/>
        </w:rPr>
        <w:t>11.49吨标准煤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单位建筑面积综合能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源消费量</w:t>
      </w:r>
      <w:r>
        <w:rPr>
          <w:rFonts w:hint="eastAsia" w:ascii="仿宋_GB2312" w:hAnsi="仿宋_GB2312" w:eastAsia="仿宋_GB2312" w:cs="仿宋_GB2312"/>
          <w:sz w:val="32"/>
          <w:szCs w:val="32"/>
        </w:rPr>
        <w:t>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千克标准煤/平方米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符合河北省颁布的《居住建筑节能设计标准（节能75%）》（DB13(J)185-2020（2021年版）)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年能源消费量对全市能源消费增量影响较小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、该项目不涉及煤炭减量替代。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、请你单位认真落实该项目节能报告中各项节能措施，对项目设计、施工、竣工验收以及运营管理进行监督检查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加强用能计量、统计，完善节能目标责任制，深挖节能潜力，努力降低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能耗。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、项目建设内容、能效水平及能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耗种类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等发生重大变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或年能源消费量超过节能审查意见10%及以上的，应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向我局提出变更申请。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" w:firstLine="672" w:firstLineChars="21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、本审查意见有效期为2年。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617" w:firstLineChars="1443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2022年12月19日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U1ZjBlNzliM2Q1MDM2MDA2M2Y4NDUyNTUyMTMifQ=="/>
  </w:docVars>
  <w:rsids>
    <w:rsidRoot w:val="00000000"/>
    <w:rsid w:val="2DD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30"/>
    </w:pPr>
    <w:rPr>
      <w:rFonts w:ascii="??_GB2312" w:eastAsia="Times New Roman"/>
      <w:sz w:val="32"/>
    </w:rPr>
  </w:style>
  <w:style w:type="paragraph" w:styleId="3">
    <w:name w:val="Body Text First Indent 2"/>
    <w:basedOn w:val="2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2022-12-30T02:29:09Z</dcterms:created>
  <dc:creator>Lenovo</dc:creator>
  <cp:lastModifiedBy>YL</cp:lastModifiedBy>
  <dcterms:modified xsi:type="dcterms:W3CDTF">2022-12-30T02:29:21Z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87F8D5B563704E438B431329E0A68612</vt:lpwstr>
  </property>
</Properties>
</file>