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324" w:lineRule="auto"/>
        <w:jc w:val="both"/>
        <w:rPr>
          <w:rFonts w:ascii="Arial Narrow" w:hAnsi="Arial Narrow" w:cs="Arial Narrow"/>
          <w:b/>
          <w:sz w:val="44"/>
        </w:rPr>
      </w:pPr>
    </w:p>
    <w:p>
      <w:pPr>
        <w:spacing w:line="580" w:lineRule="exact"/>
        <w:jc w:val="center"/>
        <w:rPr>
          <w:rFonts w:ascii="方正小标宋简体" w:eastAsia="方正小标宋简体"/>
          <w:b w:val="0"/>
          <w:bCs/>
          <w:color w:val="000000"/>
          <w:sz w:val="44"/>
          <w:szCs w:val="44"/>
        </w:rPr>
      </w:pPr>
      <w:r>
        <w:rPr>
          <w:rFonts w:hint="eastAsia" w:ascii="方正小标宋简体" w:eastAsia="方正小标宋简体"/>
          <w:b w:val="0"/>
          <w:bCs/>
          <w:color w:val="000000"/>
          <w:sz w:val="44"/>
          <w:szCs w:val="44"/>
        </w:rPr>
        <w:t>秦皇岛市2</w:t>
      </w:r>
      <w:r>
        <w:rPr>
          <w:rFonts w:ascii="方正小标宋简体" w:eastAsia="方正小标宋简体"/>
          <w:b w:val="0"/>
          <w:bCs/>
          <w:color w:val="000000"/>
          <w:sz w:val="44"/>
          <w:szCs w:val="44"/>
        </w:rPr>
        <w:t>020-2021</w:t>
      </w:r>
      <w:r>
        <w:rPr>
          <w:rFonts w:hint="eastAsia" w:ascii="方正小标宋简体" w:eastAsia="方正小标宋简体"/>
          <w:b w:val="0"/>
          <w:bCs/>
          <w:color w:val="000000"/>
          <w:sz w:val="44"/>
          <w:szCs w:val="44"/>
        </w:rPr>
        <w:t>年度城乡</w:t>
      </w:r>
    </w:p>
    <w:p>
      <w:pPr>
        <w:spacing w:line="580" w:lineRule="exact"/>
        <w:jc w:val="center"/>
        <w:rPr>
          <w:rFonts w:ascii="Arial Narrow" w:hAnsi="Arial Narrow" w:cs="Arial Narrow"/>
          <w:b w:val="0"/>
          <w:bCs/>
          <w:sz w:val="44"/>
        </w:rPr>
      </w:pPr>
      <w:r>
        <w:rPr>
          <w:rFonts w:hint="eastAsia" w:ascii="方正小标宋简体" w:eastAsia="方正小标宋简体"/>
          <w:b w:val="0"/>
          <w:bCs/>
          <w:color w:val="000000"/>
          <w:sz w:val="44"/>
          <w:szCs w:val="44"/>
        </w:rPr>
        <w:t>居民大病保险项目绩效评价报告</w:t>
      </w:r>
    </w:p>
    <w:p>
      <w:pPr>
        <w:widowControl w:val="0"/>
        <w:spacing w:line="500" w:lineRule="exact"/>
        <w:ind w:firstLine="618" w:firstLineChars="221"/>
        <w:jc w:val="both"/>
        <w:rPr>
          <w:rFonts w:ascii="仿宋_GB2312" w:eastAsia="仿宋_GB2312" w:cs="Arial Narrow"/>
          <w:sz w:val="28"/>
          <w:szCs w:val="28"/>
        </w:rPr>
      </w:pPr>
    </w:p>
    <w:p>
      <w:pPr>
        <w:widowControl w:val="0"/>
        <w:spacing w:line="580" w:lineRule="exact"/>
        <w:ind w:firstLine="640" w:firstLineChars="200"/>
        <w:jc w:val="both"/>
        <w:rPr>
          <w:rFonts w:ascii="华文仿宋" w:hAnsi="华文仿宋" w:eastAsia="华文仿宋" w:cs="华文仿宋"/>
          <w:b/>
          <w:bCs/>
          <w:sz w:val="32"/>
          <w:szCs w:val="32"/>
        </w:rPr>
      </w:pPr>
      <w:r>
        <w:rPr>
          <w:rFonts w:hint="eastAsia" w:ascii="华文仿宋" w:hAnsi="华文仿宋" w:eastAsia="华文仿宋" w:cs="华文仿宋"/>
          <w:sz w:val="32"/>
          <w:szCs w:val="32"/>
        </w:rPr>
        <w:t>为进一步规范和加强财政支出项目资金管理，规范支出行为，强化支出责任，提高财政资金使用效益和管理水平，根据《关于全面实施预算绩效管理</w:t>
      </w:r>
      <w:bookmarkStart w:id="1" w:name="_GoBack"/>
      <w:bookmarkEnd w:id="1"/>
      <w:r>
        <w:rPr>
          <w:rFonts w:hint="eastAsia" w:ascii="华文仿宋" w:hAnsi="华文仿宋" w:eastAsia="华文仿宋" w:cs="华文仿宋"/>
          <w:sz w:val="32"/>
          <w:szCs w:val="32"/>
        </w:rPr>
        <w:t>的实施意见》（冀发〔2018〕54号）、财政部关于印发《项目支出绩效评价管理办法》的通知（财预〔2020〕10号）和秦皇岛市财政局关于印发《市级2022年财政重点绩效评价工作计划》的通知（秦财监〔2022〕110号）文件要求，受秦皇岛市财政局委托，河北衡信会计师事务所有限公司对秦皇岛市医疗保障局</w:t>
      </w:r>
      <w:r>
        <w:rPr>
          <w:rFonts w:hint="eastAsia" w:ascii="华文仿宋" w:hAnsi="华文仿宋" w:eastAsia="华文仿宋" w:cs="华文仿宋"/>
          <w:bCs/>
          <w:sz w:val="32"/>
          <w:szCs w:val="32"/>
        </w:rPr>
        <w:t>“</w:t>
      </w:r>
      <w:r>
        <w:rPr>
          <w:rFonts w:hint="eastAsia" w:ascii="华文仿宋" w:hAnsi="华文仿宋" w:eastAsia="华文仿宋" w:cs="华文仿宋"/>
          <w:sz w:val="32"/>
          <w:szCs w:val="32"/>
        </w:rPr>
        <w:t>2020—2021年度城乡居民大病保险项目</w:t>
      </w:r>
      <w:r>
        <w:rPr>
          <w:rFonts w:hint="eastAsia" w:ascii="华文仿宋" w:hAnsi="华文仿宋" w:eastAsia="华文仿宋" w:cs="华文仿宋"/>
          <w:bCs/>
          <w:sz w:val="32"/>
          <w:szCs w:val="32"/>
        </w:rPr>
        <w:t>”开展</w:t>
      </w:r>
      <w:r>
        <w:rPr>
          <w:rFonts w:hint="eastAsia" w:ascii="华文仿宋" w:hAnsi="华文仿宋" w:eastAsia="华文仿宋" w:cs="华文仿宋"/>
          <w:sz w:val="32"/>
          <w:szCs w:val="32"/>
        </w:rPr>
        <w:t>绩效评价工作，形成绩效评价报告。</w:t>
      </w:r>
    </w:p>
    <w:p>
      <w:pPr>
        <w:spacing w:line="580" w:lineRule="exact"/>
        <w:ind w:firstLine="641" w:firstLineChars="200"/>
        <w:jc w:val="both"/>
        <w:rPr>
          <w:rFonts w:ascii="华文仿宋" w:hAnsi="华文仿宋" w:eastAsia="华文仿宋" w:cs="华文仿宋"/>
          <w:b/>
          <w:bCs/>
          <w:sz w:val="32"/>
          <w:szCs w:val="32"/>
        </w:rPr>
      </w:pPr>
      <w:r>
        <w:rPr>
          <w:rFonts w:hint="eastAsia" w:ascii="华文仿宋" w:hAnsi="华文仿宋" w:eastAsia="华文仿宋" w:cs="华文仿宋"/>
          <w:b/>
          <w:bCs/>
          <w:sz w:val="32"/>
          <w:szCs w:val="32"/>
        </w:rPr>
        <w:t>一、项目概况</w:t>
      </w:r>
    </w:p>
    <w:p>
      <w:pPr>
        <w:spacing w:line="580" w:lineRule="exact"/>
        <w:ind w:firstLine="562"/>
        <w:jc w:val="both"/>
        <w:rPr>
          <w:rFonts w:ascii="华文仿宋" w:hAnsi="华文仿宋" w:eastAsia="华文仿宋" w:cs="华文仿宋"/>
          <w:b/>
          <w:bCs/>
          <w:sz w:val="32"/>
          <w:szCs w:val="32"/>
        </w:rPr>
      </w:pPr>
      <w:r>
        <w:rPr>
          <w:rFonts w:hint="eastAsia" w:ascii="华文仿宋" w:hAnsi="华文仿宋" w:eastAsia="华文仿宋" w:cs="华文仿宋"/>
          <w:b/>
          <w:bCs/>
          <w:sz w:val="32"/>
          <w:szCs w:val="32"/>
        </w:rPr>
        <w:t>（一）项目内容</w:t>
      </w:r>
    </w:p>
    <w:p>
      <w:pPr>
        <w:widowControl w:val="0"/>
        <w:spacing w:line="580" w:lineRule="exact"/>
        <w:ind w:firstLine="704" w:firstLineChars="220"/>
        <w:jc w:val="both"/>
        <w:rPr>
          <w:rFonts w:ascii="华文仿宋" w:hAnsi="华文仿宋" w:eastAsia="华文仿宋" w:cs="华文仿宋"/>
          <w:sz w:val="32"/>
          <w:szCs w:val="32"/>
        </w:rPr>
      </w:pPr>
      <w:r>
        <w:rPr>
          <w:rFonts w:hint="eastAsia" w:ascii="华文仿宋" w:hAnsi="华文仿宋" w:eastAsia="华文仿宋" w:cs="华文仿宋"/>
          <w:sz w:val="32"/>
          <w:szCs w:val="32"/>
        </w:rPr>
        <w:t>根据《秦皇岛市城乡居民大病保险实施办法》（秦政办发〔2016〕69号）文件，城乡居民大病保险实行市级统筹，按照“以收定支、收支平衡、保障适度、持续发展”的原则，科学确定城乡居民大病保险资金筹资标准，稳定大病保险资金来源，有效减轻大病患者负担。</w:t>
      </w:r>
    </w:p>
    <w:p>
      <w:pPr>
        <w:spacing w:line="580" w:lineRule="exact"/>
        <w:ind w:firstLine="562"/>
        <w:jc w:val="both"/>
        <w:rPr>
          <w:rFonts w:ascii="华文仿宋" w:hAnsi="华文仿宋" w:eastAsia="华文仿宋" w:cs="华文仿宋"/>
          <w:sz w:val="32"/>
          <w:szCs w:val="32"/>
        </w:rPr>
      </w:pPr>
      <w:r>
        <w:rPr>
          <w:rFonts w:hint="eastAsia" w:ascii="华文仿宋" w:hAnsi="华文仿宋" w:eastAsia="华文仿宋" w:cs="华文仿宋"/>
          <w:sz w:val="32"/>
          <w:szCs w:val="32"/>
        </w:rPr>
        <w:t>市医疗保障局负责城乡居民大病保险的组织管理、投保和监督检查；财政部门负责城乡居民大病保险财政专户管理，审核、监督财政专户资金使用；审计部门负责城乡居民大病保险资金的审计工作；受委托的商业保险机构负责城乡居民大病保险业务的经办；秦皇岛市医疗保险基金管理中心为本项目经办机构，执行资金拨付工作。</w:t>
      </w:r>
    </w:p>
    <w:p>
      <w:pPr>
        <w:spacing w:line="580" w:lineRule="exact"/>
        <w:ind w:firstLine="562"/>
        <w:jc w:val="both"/>
        <w:rPr>
          <w:rFonts w:ascii="华文仿宋" w:hAnsi="华文仿宋" w:eastAsia="华文仿宋" w:cs="华文仿宋"/>
          <w:sz w:val="32"/>
          <w:szCs w:val="32"/>
        </w:rPr>
      </w:pPr>
      <w:r>
        <w:rPr>
          <w:rFonts w:hint="eastAsia" w:ascii="华文仿宋" w:hAnsi="华文仿宋" w:eastAsia="华文仿宋" w:cs="华文仿宋"/>
          <w:sz w:val="32"/>
          <w:szCs w:val="32"/>
        </w:rPr>
        <w:t>1、参保范围</w:t>
      </w:r>
    </w:p>
    <w:p>
      <w:pPr>
        <w:spacing w:line="580" w:lineRule="exact"/>
        <w:ind w:firstLine="562"/>
        <w:jc w:val="both"/>
        <w:rPr>
          <w:rFonts w:ascii="华文仿宋" w:hAnsi="华文仿宋" w:eastAsia="华文仿宋" w:cs="华文仿宋"/>
          <w:sz w:val="32"/>
          <w:szCs w:val="32"/>
        </w:rPr>
      </w:pPr>
      <w:r>
        <w:rPr>
          <w:rFonts w:hint="eastAsia" w:ascii="华文仿宋" w:hAnsi="华文仿宋" w:eastAsia="华文仿宋" w:cs="华文仿宋"/>
          <w:sz w:val="32"/>
          <w:szCs w:val="32"/>
        </w:rPr>
        <w:t>具有我市城乡户籍未参加城镇职工基本医疗保险的城乡居民；已取得居住证非本市户籍的居民；常年在本市城乡就学的中小学生（包括职业高中、中专、技校学生）、入托的学龄前儿童；驻我市的各类全日制普通高等院校在校学生。</w:t>
      </w:r>
    </w:p>
    <w:p>
      <w:pPr>
        <w:spacing w:line="580" w:lineRule="exact"/>
        <w:ind w:firstLine="562"/>
        <w:jc w:val="both"/>
        <w:rPr>
          <w:rFonts w:ascii="华文仿宋" w:hAnsi="华文仿宋" w:eastAsia="华文仿宋" w:cs="华文仿宋"/>
          <w:sz w:val="32"/>
          <w:szCs w:val="32"/>
        </w:rPr>
      </w:pPr>
      <w:r>
        <w:rPr>
          <w:rFonts w:hint="eastAsia" w:ascii="华文仿宋" w:hAnsi="华文仿宋" w:eastAsia="华文仿宋" w:cs="华文仿宋"/>
          <w:sz w:val="32"/>
          <w:szCs w:val="32"/>
        </w:rPr>
        <w:t>2、保障范围</w:t>
      </w:r>
    </w:p>
    <w:p>
      <w:pPr>
        <w:spacing w:line="580" w:lineRule="exact"/>
        <w:ind w:firstLine="562"/>
        <w:jc w:val="both"/>
        <w:rPr>
          <w:rFonts w:ascii="华文仿宋" w:hAnsi="华文仿宋" w:eastAsia="华文仿宋" w:cs="华文仿宋"/>
          <w:sz w:val="32"/>
          <w:szCs w:val="32"/>
        </w:rPr>
      </w:pPr>
      <w:r>
        <w:rPr>
          <w:rFonts w:hint="eastAsia" w:ascii="华文仿宋" w:hAnsi="华文仿宋" w:eastAsia="华文仿宋" w:cs="华文仿宋"/>
          <w:sz w:val="32"/>
          <w:szCs w:val="32"/>
        </w:rPr>
        <w:t>城乡居民大病保险与城乡居民基本医疗保险相衔接。参保居民患病治疗发生的住院（含第三类门诊慢性病）医疗费用，经城乡居民基本医保按规定支付后需个人负担的符合支付范围的医疗费用由大病保险资金按规定支付。</w:t>
      </w:r>
    </w:p>
    <w:p>
      <w:pPr>
        <w:spacing w:line="580" w:lineRule="exact"/>
        <w:ind w:firstLine="562"/>
        <w:jc w:val="both"/>
        <w:rPr>
          <w:rFonts w:ascii="华文仿宋" w:hAnsi="华文仿宋" w:eastAsia="华文仿宋" w:cs="华文仿宋"/>
          <w:sz w:val="32"/>
          <w:szCs w:val="32"/>
        </w:rPr>
      </w:pPr>
      <w:r>
        <w:rPr>
          <w:rFonts w:hint="eastAsia" w:ascii="华文仿宋" w:hAnsi="华文仿宋" w:eastAsia="华文仿宋" w:cs="华文仿宋"/>
          <w:sz w:val="32"/>
          <w:szCs w:val="32"/>
        </w:rPr>
        <w:t>3、资金来源</w:t>
      </w:r>
    </w:p>
    <w:p>
      <w:pPr>
        <w:spacing w:line="580" w:lineRule="exact"/>
        <w:ind w:firstLine="562"/>
        <w:jc w:val="both"/>
        <w:rPr>
          <w:rFonts w:ascii="华文仿宋" w:hAnsi="华文仿宋" w:eastAsia="华文仿宋" w:cs="华文仿宋"/>
          <w:sz w:val="32"/>
          <w:szCs w:val="32"/>
        </w:rPr>
      </w:pPr>
      <w:r>
        <w:rPr>
          <w:rFonts w:hint="eastAsia" w:ascii="华文仿宋" w:hAnsi="华文仿宋" w:eastAsia="华文仿宋" w:cs="华文仿宋"/>
          <w:sz w:val="32"/>
          <w:szCs w:val="32"/>
        </w:rPr>
        <w:t>（1）城乡居民基本医疗保险基金资金来源</w:t>
      </w:r>
    </w:p>
    <w:p>
      <w:pPr>
        <w:spacing w:line="580" w:lineRule="exact"/>
        <w:ind w:firstLine="562"/>
        <w:jc w:val="both"/>
        <w:rPr>
          <w:rFonts w:ascii="华文仿宋" w:hAnsi="华文仿宋" w:eastAsia="华文仿宋" w:cs="华文仿宋"/>
          <w:sz w:val="32"/>
          <w:szCs w:val="32"/>
        </w:rPr>
      </w:pPr>
      <w:r>
        <w:rPr>
          <w:rFonts w:hint="eastAsia" w:ascii="华文仿宋" w:hAnsi="华文仿宋" w:eastAsia="华文仿宋" w:cs="华文仿宋"/>
          <w:sz w:val="32"/>
          <w:szCs w:val="32"/>
        </w:rPr>
        <w:t>城乡居民基本医疗保险基金由下述资金构成：参保居民个人缴纳的医疗保险费（2020年度城乡居民个人缴费标准为250元/人、2021年度为280元/人）；各级政府的补助资金（按当年公布标准和相应级次的政府间支出责任划分分别负担）；社会捐助的资金；基金的利息收入；其他应纳入的资金。</w:t>
      </w:r>
    </w:p>
    <w:p>
      <w:pPr>
        <w:spacing w:line="580" w:lineRule="exact"/>
        <w:ind w:firstLine="562"/>
        <w:jc w:val="both"/>
        <w:rPr>
          <w:rFonts w:ascii="华文仿宋" w:hAnsi="华文仿宋" w:eastAsia="华文仿宋" w:cs="华文仿宋"/>
          <w:sz w:val="32"/>
          <w:szCs w:val="32"/>
        </w:rPr>
      </w:pPr>
      <w:r>
        <w:rPr>
          <w:rFonts w:hint="eastAsia" w:ascii="华文仿宋" w:hAnsi="华文仿宋" w:eastAsia="华文仿宋" w:cs="华文仿宋"/>
          <w:sz w:val="32"/>
          <w:szCs w:val="32"/>
        </w:rPr>
        <w:t>（2）城乡居民大病保险资金来源</w:t>
      </w:r>
    </w:p>
    <w:p>
      <w:pPr>
        <w:spacing w:line="580" w:lineRule="exact"/>
        <w:ind w:firstLine="562"/>
        <w:jc w:val="both"/>
        <w:rPr>
          <w:rFonts w:ascii="华文仿宋" w:hAnsi="华文仿宋" w:eastAsia="华文仿宋" w:cs="华文仿宋"/>
          <w:sz w:val="32"/>
          <w:szCs w:val="32"/>
        </w:rPr>
      </w:pPr>
      <w:r>
        <w:rPr>
          <w:rFonts w:hint="eastAsia" w:ascii="华文仿宋" w:hAnsi="华文仿宋" w:eastAsia="华文仿宋" w:cs="华文仿宋"/>
          <w:sz w:val="32"/>
          <w:szCs w:val="32"/>
        </w:rPr>
        <w:t>《秦皇岛市医疗保障局、秦皇岛市财政局关于做好2019年城乡居民基本医疗保障重点工作的通知》（秦医保〔2019〕91号）调整城乡居民大病保险筹资标准为75元/人/年。</w:t>
      </w:r>
    </w:p>
    <w:p>
      <w:pPr>
        <w:spacing w:line="580" w:lineRule="exact"/>
        <w:ind w:firstLine="562"/>
        <w:jc w:val="both"/>
        <w:rPr>
          <w:rFonts w:ascii="华文仿宋" w:hAnsi="华文仿宋" w:eastAsia="华文仿宋" w:cs="华文仿宋"/>
          <w:sz w:val="32"/>
          <w:szCs w:val="32"/>
        </w:rPr>
      </w:pPr>
      <w:r>
        <w:rPr>
          <w:rFonts w:hint="eastAsia" w:ascii="华文仿宋" w:hAnsi="华文仿宋" w:eastAsia="华文仿宋" w:cs="华文仿宋"/>
          <w:sz w:val="32"/>
          <w:szCs w:val="32"/>
        </w:rPr>
        <w:t>4、资金拨付与委托费用情况</w:t>
      </w:r>
    </w:p>
    <w:p>
      <w:pPr>
        <w:spacing w:line="580" w:lineRule="exact"/>
        <w:ind w:firstLine="562"/>
        <w:jc w:val="both"/>
        <w:rPr>
          <w:rFonts w:ascii="华文仿宋" w:hAnsi="华文仿宋" w:eastAsia="华文仿宋" w:cs="华文仿宋"/>
          <w:sz w:val="32"/>
          <w:szCs w:val="32"/>
        </w:rPr>
      </w:pPr>
      <w:r>
        <w:rPr>
          <w:rFonts w:hint="eastAsia" w:ascii="华文仿宋" w:hAnsi="华文仿宋" w:eastAsia="华文仿宋" w:cs="华文仿宋"/>
          <w:sz w:val="32"/>
          <w:szCs w:val="32"/>
        </w:rPr>
        <w:t>大病保险资金于年初从城乡居民基本医疗保险基金中提取（据实际情况，缴费期限有延长的可能性），大病保险筹资标准为75元/人/年，太保公司每年按筹资总额的85%向市医保经办机构提出资金拨付申请，秦皇岛市医疗保险基金管理中心向财政申请付款后，向太保公司拨付资金。</w:t>
      </w:r>
    </w:p>
    <w:p>
      <w:pPr>
        <w:spacing w:line="580" w:lineRule="exact"/>
        <w:ind w:firstLine="562"/>
        <w:jc w:val="both"/>
        <w:rPr>
          <w:rFonts w:ascii="华文仿宋" w:hAnsi="华文仿宋" w:eastAsia="华文仿宋" w:cs="华文仿宋"/>
          <w:sz w:val="32"/>
          <w:szCs w:val="32"/>
        </w:rPr>
      </w:pPr>
      <w:r>
        <w:rPr>
          <w:rFonts w:hint="eastAsia" w:ascii="华文仿宋" w:hAnsi="华文仿宋" w:eastAsia="华文仿宋" w:cs="华文仿宋"/>
          <w:sz w:val="32"/>
          <w:szCs w:val="32"/>
        </w:rPr>
        <w:t>秦皇岛市医疗保险基金管理中心每年向太保公司拨付资金时，预留城乡居民大病保险项目经办费的20%作为保证金。</w:t>
      </w:r>
    </w:p>
    <w:p>
      <w:pPr>
        <w:widowControl w:val="0"/>
        <w:spacing w:line="580" w:lineRule="exact"/>
        <w:ind w:firstLine="561"/>
        <w:jc w:val="both"/>
        <w:rPr>
          <w:rFonts w:ascii="华文仿宋" w:hAnsi="华文仿宋" w:eastAsia="华文仿宋" w:cs="华文仿宋"/>
          <w:sz w:val="32"/>
          <w:szCs w:val="32"/>
        </w:rPr>
      </w:pPr>
      <w:r>
        <w:rPr>
          <w:rFonts w:hint="eastAsia" w:ascii="华文仿宋" w:hAnsi="华文仿宋" w:eastAsia="华文仿宋" w:cs="华文仿宋"/>
          <w:sz w:val="32"/>
          <w:szCs w:val="32"/>
        </w:rPr>
        <w:t>项目由太保公司与秦皇岛市医疗保险基金管理中心进行清算，扣除对应年度赔付款及机构运营成本后（当年筹资总额的3.4%），剩余资金返还至城乡居民大病保险基金财政专户。资金亏损时，由商业保险机构先行支付，对其合理部分经医疗保障部门认定后，从资金结余或通过调整筹资标准予以解决。</w:t>
      </w:r>
    </w:p>
    <w:p>
      <w:pPr>
        <w:widowControl w:val="0"/>
        <w:spacing w:line="580" w:lineRule="exact"/>
        <w:ind w:firstLine="561"/>
        <w:jc w:val="both"/>
        <w:rPr>
          <w:rFonts w:hint="eastAsia" w:ascii="华文仿宋" w:hAnsi="华文仿宋" w:eastAsia="华文仿宋" w:cs="华文仿宋"/>
          <w:sz w:val="32"/>
          <w:szCs w:val="32"/>
        </w:rPr>
      </w:pPr>
      <w:r>
        <w:rPr>
          <w:rFonts w:hint="eastAsia" w:ascii="华文仿宋" w:hAnsi="华文仿宋" w:eastAsia="华文仿宋" w:cs="华文仿宋"/>
          <w:sz w:val="32"/>
          <w:szCs w:val="32"/>
        </w:rPr>
        <w:t>依据秦皇岛市医疗保障局、秦皇岛市财政局会议纪要（〔2022〕1号），原确定的经办费用提取比例不足以支撑正常业务开展，确定2021年度城乡居民大病保险项目经办费用比例为4.1%。2022年度顺延2021年度计提比例。</w:t>
      </w:r>
    </w:p>
    <w:p>
      <w:pPr>
        <w:widowControl w:val="0"/>
        <w:spacing w:line="580" w:lineRule="exact"/>
        <w:ind w:firstLine="561"/>
        <w:jc w:val="both"/>
        <w:rPr>
          <w:rFonts w:ascii="华文仿宋" w:hAnsi="华文仿宋" w:eastAsia="华文仿宋" w:cs="华文仿宋"/>
          <w:sz w:val="32"/>
          <w:szCs w:val="32"/>
        </w:rPr>
      </w:pPr>
      <w:r>
        <w:rPr>
          <w:rFonts w:hint="eastAsia" w:ascii="华文仿宋" w:hAnsi="华文仿宋" w:eastAsia="华文仿宋" w:cs="华文仿宋"/>
          <w:sz w:val="32"/>
          <w:szCs w:val="32"/>
        </w:rPr>
        <w:t>5、起付标准：以市统计部门公布的上一年度城镇居民、农村居民年人均可支配收入作为主要测算依据，2017年度定为1.1万元。2017—2021年度一直沿用此标准。</w:t>
      </w:r>
    </w:p>
    <w:p>
      <w:pPr>
        <w:spacing w:line="580" w:lineRule="exact"/>
        <w:ind w:firstLine="562"/>
        <w:jc w:val="both"/>
        <w:rPr>
          <w:rFonts w:ascii="华文仿宋" w:hAnsi="华文仿宋" w:eastAsia="华文仿宋" w:cs="华文仿宋"/>
          <w:sz w:val="32"/>
          <w:szCs w:val="32"/>
        </w:rPr>
      </w:pPr>
      <w:r>
        <w:rPr>
          <w:rFonts w:hint="eastAsia" w:ascii="华文仿宋" w:hAnsi="华文仿宋" w:eastAsia="华文仿宋" w:cs="华文仿宋"/>
          <w:sz w:val="32"/>
          <w:szCs w:val="32"/>
        </w:rPr>
        <w:t>6、赔付标准</w:t>
      </w:r>
    </w:p>
    <w:p>
      <w:pPr>
        <w:spacing w:line="580" w:lineRule="exact"/>
        <w:ind w:firstLine="562"/>
        <w:jc w:val="center"/>
        <w:rPr>
          <w:rFonts w:ascii="华文仿宋" w:hAnsi="华文仿宋" w:eastAsia="华文仿宋" w:cs="华文仿宋"/>
          <w:sz w:val="32"/>
          <w:szCs w:val="32"/>
        </w:rPr>
      </w:pPr>
      <w:r>
        <w:rPr>
          <w:rFonts w:hint="eastAsia" w:ascii="华文仿宋" w:hAnsi="华文仿宋" w:eastAsia="华文仿宋" w:cs="华文仿宋"/>
          <w:sz w:val="32"/>
          <w:szCs w:val="32"/>
        </w:rPr>
        <w:t>2020年—2021年补偿标准如下：</w:t>
      </w:r>
    </w:p>
    <w:tbl>
      <w:tblPr>
        <w:tblStyle w:val="11"/>
        <w:tblW w:w="4841" w:type="pct"/>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312"/>
        <w:gridCol w:w="2894"/>
        <w:gridCol w:w="27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38" w:hRule="atLeast"/>
        </w:trPr>
        <w:tc>
          <w:tcPr>
            <w:tcW w:w="1841" w:type="pct"/>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580" w:lineRule="exact"/>
              <w:jc w:val="center"/>
              <w:rPr>
                <w:rFonts w:ascii="华文仿宋" w:hAnsi="华文仿宋" w:eastAsia="华文仿宋" w:cs="华文仿宋"/>
                <w:b/>
                <w:bCs/>
                <w:sz w:val="21"/>
                <w:szCs w:val="21"/>
              </w:rPr>
            </w:pPr>
            <w:r>
              <w:rPr>
                <w:rFonts w:hint="eastAsia" w:ascii="华文仿宋" w:hAnsi="华文仿宋" w:eastAsia="华文仿宋" w:cs="华文仿宋"/>
                <w:b/>
                <w:bCs/>
                <w:sz w:val="21"/>
                <w:szCs w:val="21"/>
              </w:rPr>
              <w:t>起付线</w:t>
            </w:r>
          </w:p>
        </w:tc>
        <w:tc>
          <w:tcPr>
            <w:tcW w:w="1609" w:type="pct"/>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580" w:lineRule="exact"/>
              <w:jc w:val="center"/>
              <w:rPr>
                <w:rFonts w:ascii="华文仿宋" w:hAnsi="华文仿宋" w:eastAsia="华文仿宋" w:cs="华文仿宋"/>
                <w:b/>
                <w:bCs/>
                <w:sz w:val="21"/>
                <w:szCs w:val="21"/>
              </w:rPr>
            </w:pPr>
            <w:r>
              <w:rPr>
                <w:rFonts w:hint="eastAsia" w:ascii="华文仿宋" w:hAnsi="华文仿宋" w:eastAsia="华文仿宋" w:cs="华文仿宋"/>
                <w:b/>
                <w:bCs/>
                <w:sz w:val="21"/>
                <w:szCs w:val="21"/>
              </w:rPr>
              <w:t>个人负担合规部分</w:t>
            </w:r>
          </w:p>
        </w:tc>
        <w:tc>
          <w:tcPr>
            <w:tcW w:w="1549" w:type="pct"/>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580" w:lineRule="exact"/>
              <w:jc w:val="center"/>
              <w:rPr>
                <w:rFonts w:ascii="华文仿宋" w:hAnsi="华文仿宋" w:eastAsia="华文仿宋" w:cs="华文仿宋"/>
                <w:b/>
                <w:bCs/>
                <w:sz w:val="21"/>
                <w:szCs w:val="21"/>
              </w:rPr>
            </w:pPr>
            <w:r>
              <w:rPr>
                <w:rFonts w:hint="eastAsia" w:ascii="华文仿宋" w:hAnsi="华文仿宋" w:eastAsia="华文仿宋" w:cs="华文仿宋"/>
                <w:b/>
                <w:bCs/>
                <w:sz w:val="21"/>
                <w:szCs w:val="21"/>
              </w:rPr>
              <w:t>补偿比例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trPr>
        <w:tc>
          <w:tcPr>
            <w:tcW w:w="1841"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spacing w:line="580" w:lineRule="exact"/>
              <w:jc w:val="both"/>
              <w:rPr>
                <w:rFonts w:ascii="华文仿宋" w:hAnsi="华文仿宋" w:eastAsia="华文仿宋" w:cs="华文仿宋"/>
                <w:sz w:val="21"/>
                <w:szCs w:val="21"/>
              </w:rPr>
            </w:pPr>
            <w:r>
              <w:rPr>
                <w:rFonts w:hint="eastAsia" w:ascii="华文仿宋" w:hAnsi="华文仿宋" w:eastAsia="华文仿宋" w:cs="华文仿宋"/>
                <w:sz w:val="21"/>
                <w:szCs w:val="21"/>
              </w:rPr>
              <w:t>上一年度城镇居民、农村居民人均可支配收入</w:t>
            </w:r>
          </w:p>
          <w:p>
            <w:pPr>
              <w:spacing w:line="580" w:lineRule="exact"/>
              <w:jc w:val="both"/>
              <w:rPr>
                <w:rFonts w:ascii="华文仿宋" w:hAnsi="华文仿宋" w:eastAsia="华文仿宋" w:cs="华文仿宋"/>
                <w:sz w:val="21"/>
                <w:szCs w:val="21"/>
              </w:rPr>
            </w:pPr>
            <w:r>
              <w:rPr>
                <w:rFonts w:hint="eastAsia" w:ascii="华文仿宋" w:hAnsi="华文仿宋" w:eastAsia="华文仿宋" w:cs="华文仿宋"/>
                <w:sz w:val="21"/>
                <w:szCs w:val="21"/>
              </w:rPr>
              <w:t>（沿用2017年度指标）</w:t>
            </w:r>
          </w:p>
        </w:tc>
        <w:tc>
          <w:tcPr>
            <w:tcW w:w="1609" w:type="pct"/>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580" w:lineRule="exact"/>
              <w:jc w:val="center"/>
              <w:rPr>
                <w:rFonts w:ascii="华文仿宋" w:hAnsi="华文仿宋" w:eastAsia="华文仿宋" w:cs="华文仿宋"/>
                <w:sz w:val="21"/>
                <w:szCs w:val="21"/>
              </w:rPr>
            </w:pPr>
            <w:r>
              <w:rPr>
                <w:rFonts w:hint="eastAsia" w:ascii="华文仿宋" w:hAnsi="华文仿宋" w:eastAsia="华文仿宋" w:cs="华文仿宋"/>
                <w:sz w:val="21"/>
                <w:szCs w:val="21"/>
              </w:rPr>
              <w:t>11000-100000元</w:t>
            </w:r>
          </w:p>
        </w:tc>
        <w:tc>
          <w:tcPr>
            <w:tcW w:w="1549" w:type="pct"/>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580" w:lineRule="exact"/>
              <w:jc w:val="center"/>
              <w:rPr>
                <w:rFonts w:ascii="华文仿宋" w:hAnsi="华文仿宋" w:eastAsia="华文仿宋" w:cs="华文仿宋"/>
                <w:sz w:val="21"/>
                <w:szCs w:val="21"/>
              </w:rPr>
            </w:pPr>
            <w:r>
              <w:rPr>
                <w:rFonts w:hint="eastAsia" w:ascii="华文仿宋" w:hAnsi="华文仿宋" w:eastAsia="华文仿宋" w:cs="华文仿宋"/>
                <w:sz w:val="21"/>
                <w:szCs w:val="21"/>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38" w:hRule="atLeast"/>
        </w:trPr>
        <w:tc>
          <w:tcPr>
            <w:tcW w:w="1841" w:type="pct"/>
            <w:vMerge w:val="continue"/>
            <w:tcBorders>
              <w:top w:val="single" w:color="auto" w:sz="4" w:space="0"/>
              <w:left w:val="single" w:color="auto" w:sz="4" w:space="0"/>
              <w:bottom w:val="single" w:color="auto" w:sz="4" w:space="0"/>
              <w:right w:val="single" w:color="auto" w:sz="4" w:space="0"/>
            </w:tcBorders>
            <w:vAlign w:val="center"/>
          </w:tcPr>
          <w:p>
            <w:pPr>
              <w:spacing w:line="580" w:lineRule="exact"/>
              <w:jc w:val="both"/>
              <w:rPr>
                <w:rFonts w:ascii="华文仿宋" w:hAnsi="华文仿宋" w:eastAsia="华文仿宋" w:cs="华文仿宋"/>
                <w:sz w:val="21"/>
                <w:szCs w:val="21"/>
              </w:rPr>
            </w:pPr>
          </w:p>
        </w:tc>
        <w:tc>
          <w:tcPr>
            <w:tcW w:w="1609" w:type="pct"/>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580" w:lineRule="exact"/>
              <w:jc w:val="center"/>
              <w:rPr>
                <w:rFonts w:ascii="华文仿宋" w:hAnsi="华文仿宋" w:eastAsia="华文仿宋" w:cs="华文仿宋"/>
                <w:sz w:val="21"/>
                <w:szCs w:val="21"/>
              </w:rPr>
            </w:pPr>
            <w:r>
              <w:rPr>
                <w:rFonts w:hint="eastAsia" w:ascii="华文仿宋" w:hAnsi="华文仿宋" w:eastAsia="华文仿宋" w:cs="华文仿宋"/>
                <w:sz w:val="21"/>
                <w:szCs w:val="21"/>
              </w:rPr>
              <w:t>100001-200000元</w:t>
            </w:r>
          </w:p>
        </w:tc>
        <w:tc>
          <w:tcPr>
            <w:tcW w:w="1549" w:type="pct"/>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580" w:lineRule="exact"/>
              <w:jc w:val="center"/>
              <w:rPr>
                <w:rFonts w:ascii="华文仿宋" w:hAnsi="华文仿宋" w:eastAsia="华文仿宋" w:cs="华文仿宋"/>
                <w:sz w:val="21"/>
                <w:szCs w:val="21"/>
              </w:rPr>
            </w:pPr>
            <w:r>
              <w:rPr>
                <w:rFonts w:hint="eastAsia" w:ascii="华文仿宋" w:hAnsi="华文仿宋" w:eastAsia="华文仿宋" w:cs="华文仿宋"/>
                <w:sz w:val="21"/>
                <w:szCs w:val="21"/>
              </w:rPr>
              <w:t>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25" w:hRule="atLeast"/>
        </w:trPr>
        <w:tc>
          <w:tcPr>
            <w:tcW w:w="1841" w:type="pct"/>
            <w:vMerge w:val="continue"/>
            <w:tcBorders>
              <w:top w:val="single" w:color="auto" w:sz="4" w:space="0"/>
              <w:left w:val="single" w:color="auto" w:sz="4" w:space="0"/>
              <w:bottom w:val="single" w:color="auto" w:sz="4" w:space="0"/>
              <w:right w:val="single" w:color="auto" w:sz="4" w:space="0"/>
            </w:tcBorders>
            <w:vAlign w:val="center"/>
          </w:tcPr>
          <w:p>
            <w:pPr>
              <w:spacing w:line="580" w:lineRule="exact"/>
              <w:jc w:val="both"/>
              <w:rPr>
                <w:rFonts w:ascii="华文仿宋" w:hAnsi="华文仿宋" w:eastAsia="华文仿宋" w:cs="华文仿宋"/>
                <w:sz w:val="21"/>
                <w:szCs w:val="21"/>
              </w:rPr>
            </w:pPr>
          </w:p>
        </w:tc>
        <w:tc>
          <w:tcPr>
            <w:tcW w:w="1609" w:type="pct"/>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580" w:lineRule="exact"/>
              <w:jc w:val="center"/>
              <w:rPr>
                <w:rFonts w:ascii="华文仿宋" w:hAnsi="华文仿宋" w:eastAsia="华文仿宋" w:cs="华文仿宋"/>
                <w:sz w:val="21"/>
                <w:szCs w:val="21"/>
              </w:rPr>
            </w:pPr>
            <w:r>
              <w:rPr>
                <w:rFonts w:hint="eastAsia" w:ascii="华文仿宋" w:hAnsi="华文仿宋" w:eastAsia="华文仿宋" w:cs="华文仿宋"/>
                <w:sz w:val="21"/>
                <w:szCs w:val="21"/>
              </w:rPr>
              <w:t>200001元以上</w:t>
            </w:r>
          </w:p>
        </w:tc>
        <w:tc>
          <w:tcPr>
            <w:tcW w:w="1549" w:type="pct"/>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580" w:lineRule="exact"/>
              <w:jc w:val="center"/>
              <w:rPr>
                <w:rFonts w:ascii="华文仿宋" w:hAnsi="华文仿宋" w:eastAsia="华文仿宋" w:cs="华文仿宋"/>
                <w:sz w:val="21"/>
                <w:szCs w:val="21"/>
              </w:rPr>
            </w:pPr>
            <w:r>
              <w:rPr>
                <w:rFonts w:hint="eastAsia" w:ascii="华文仿宋" w:hAnsi="华文仿宋" w:eastAsia="华文仿宋" w:cs="华文仿宋"/>
                <w:sz w:val="21"/>
                <w:szCs w:val="21"/>
              </w:rPr>
              <w:t>75%</w:t>
            </w:r>
          </w:p>
        </w:tc>
      </w:tr>
    </w:tbl>
    <w:p>
      <w:pPr>
        <w:widowControl w:val="0"/>
        <w:adjustRightInd w:val="0"/>
        <w:snapToGrid w:val="0"/>
        <w:spacing w:line="580" w:lineRule="exact"/>
        <w:ind w:firstLine="704" w:firstLineChars="220"/>
        <w:jc w:val="both"/>
        <w:rPr>
          <w:rFonts w:ascii="华文仿宋" w:hAnsi="华文仿宋" w:eastAsia="华文仿宋" w:cs="华文仿宋"/>
          <w:sz w:val="32"/>
          <w:szCs w:val="32"/>
        </w:rPr>
      </w:pPr>
      <w:r>
        <w:rPr>
          <w:rFonts w:hint="eastAsia" w:ascii="华文仿宋" w:hAnsi="华文仿宋" w:eastAsia="华文仿宋" w:cs="华文仿宋"/>
          <w:bCs/>
          <w:sz w:val="32"/>
          <w:szCs w:val="32"/>
        </w:rPr>
        <w:t>7、</w:t>
      </w:r>
      <w:r>
        <w:rPr>
          <w:rFonts w:hint="eastAsia" w:ascii="华文仿宋" w:hAnsi="华文仿宋" w:eastAsia="华文仿宋" w:cs="华文仿宋"/>
          <w:sz w:val="32"/>
          <w:szCs w:val="32"/>
        </w:rPr>
        <w:t>理赔业务工作流程</w:t>
      </w:r>
    </w:p>
    <w:p>
      <w:pPr>
        <w:spacing w:line="580" w:lineRule="exact"/>
        <w:ind w:firstLine="562"/>
        <w:jc w:val="both"/>
        <w:rPr>
          <w:rFonts w:ascii="华文仿宋" w:hAnsi="华文仿宋" w:eastAsia="华文仿宋" w:cs="华文仿宋"/>
          <w:bCs/>
          <w:sz w:val="32"/>
          <w:szCs w:val="32"/>
        </w:rPr>
      </w:pPr>
      <w:r>
        <w:rPr>
          <w:rFonts w:hint="eastAsia" w:ascii="华文仿宋" w:hAnsi="华文仿宋" w:eastAsia="华文仿宋" w:cs="华文仿宋"/>
          <w:sz w:val="32"/>
          <w:szCs w:val="32"/>
        </w:rPr>
        <w:t>理赔款结算方式分为三种：本地定点结算、异地定点结算及手工结算。</w:t>
      </w:r>
    </w:p>
    <w:p>
      <w:pPr>
        <w:spacing w:line="580" w:lineRule="exact"/>
        <w:ind w:firstLine="562"/>
        <w:jc w:val="both"/>
        <w:rPr>
          <w:rFonts w:ascii="华文仿宋" w:hAnsi="华文仿宋" w:eastAsia="华文仿宋" w:cs="华文仿宋"/>
          <w:b/>
          <w:bCs/>
          <w:sz w:val="32"/>
          <w:szCs w:val="32"/>
        </w:rPr>
      </w:pPr>
      <w:r>
        <w:rPr>
          <w:rFonts w:hint="eastAsia" w:ascii="华文仿宋" w:hAnsi="华文仿宋" w:eastAsia="华文仿宋" w:cs="华文仿宋"/>
          <w:b/>
          <w:bCs/>
          <w:sz w:val="32"/>
          <w:szCs w:val="32"/>
        </w:rPr>
        <w:t>（三）项目实施情况</w:t>
      </w:r>
    </w:p>
    <w:p>
      <w:pPr>
        <w:widowControl w:val="0"/>
        <w:spacing w:line="580" w:lineRule="exact"/>
        <w:ind w:right="-2" w:firstLine="704" w:firstLineChars="220"/>
        <w:jc w:val="both"/>
        <w:rPr>
          <w:rFonts w:ascii="华文仿宋" w:hAnsi="华文仿宋" w:eastAsia="华文仿宋" w:cs="华文仿宋"/>
          <w:sz w:val="32"/>
          <w:szCs w:val="32"/>
        </w:rPr>
      </w:pPr>
      <w:r>
        <w:rPr>
          <w:rFonts w:hint="eastAsia" w:ascii="华文仿宋" w:hAnsi="华文仿宋" w:eastAsia="华文仿宋" w:cs="华文仿宋"/>
          <w:sz w:val="32"/>
          <w:szCs w:val="32"/>
        </w:rPr>
        <w:t>2020年1月21日，秦皇岛市公共资源交易中心受秦皇岛市医疗保障局委托，将城乡居民大病保险项目采用竞争性磋商方式委托太保公司承办。业务承办期为三年（2020.1.1-2022.12.31）。成交金额1890万元。</w:t>
      </w:r>
    </w:p>
    <w:p>
      <w:pPr>
        <w:widowControl w:val="0"/>
        <w:tabs>
          <w:tab w:val="left" w:pos="567"/>
        </w:tabs>
        <w:spacing w:line="580" w:lineRule="exact"/>
        <w:ind w:firstLine="640" w:firstLineChars="200"/>
        <w:jc w:val="both"/>
        <w:rPr>
          <w:rFonts w:ascii="华文仿宋" w:hAnsi="华文仿宋" w:eastAsia="华文仿宋" w:cs="华文仿宋"/>
          <w:sz w:val="32"/>
          <w:szCs w:val="32"/>
        </w:rPr>
      </w:pPr>
      <w:r>
        <w:rPr>
          <w:rFonts w:hint="eastAsia" w:ascii="华文仿宋" w:hAnsi="华文仿宋" w:eastAsia="华文仿宋" w:cs="华文仿宋"/>
          <w:sz w:val="32"/>
          <w:szCs w:val="32"/>
        </w:rPr>
        <w:t>2020年2月17日,太保公司与秦皇岛市医疗保险基金管理中心签订“秦皇岛市城乡居民大病保险协议书”，此协议书于2021年1月4日作废，2021年1月22日太保公司与秦皇岛市医疗保障局重新签订“秦皇岛市城乡居民大病保险协议书”，秦皇岛市医疗保障局作为甲方、太保公司作为乙方。甲方按政府有关规定作为法定投保人，以城乡居民基本医疗保险全体参保居民作为被保险人，整体向乙方投保，乙方按保监会的有关规定予以承保并负责秦皇岛市城乡居民大病保险费用的赔付工作，并设立城乡居民大病保险支出账户。</w:t>
      </w:r>
    </w:p>
    <w:p>
      <w:pPr>
        <w:widowControl w:val="0"/>
        <w:spacing w:line="580" w:lineRule="exact"/>
        <w:ind w:firstLine="704" w:firstLineChars="220"/>
        <w:jc w:val="both"/>
        <w:rPr>
          <w:rFonts w:ascii="华文仿宋" w:hAnsi="华文仿宋" w:eastAsia="华文仿宋" w:cs="华文仿宋"/>
          <w:bCs/>
          <w:sz w:val="32"/>
          <w:szCs w:val="32"/>
        </w:rPr>
      </w:pPr>
      <w:r>
        <w:rPr>
          <w:rFonts w:hint="eastAsia" w:ascii="华文仿宋" w:hAnsi="华文仿宋" w:eastAsia="华文仿宋" w:cs="华文仿宋"/>
          <w:sz w:val="32"/>
          <w:szCs w:val="32"/>
        </w:rPr>
        <w:t>截至评价时点，</w:t>
      </w:r>
      <w:r>
        <w:rPr>
          <w:rFonts w:hint="eastAsia" w:ascii="华文仿宋" w:hAnsi="华文仿宋" w:eastAsia="华文仿宋" w:cs="华文仿宋"/>
          <w:bCs/>
          <w:sz w:val="32"/>
          <w:szCs w:val="32"/>
        </w:rPr>
        <w:t>太保公司已完成2020-2021年度理赔工作</w:t>
      </w:r>
      <w:r>
        <w:rPr>
          <w:rFonts w:hint="eastAsia" w:ascii="华文仿宋" w:hAnsi="华文仿宋" w:eastAsia="华文仿宋" w:cs="华文仿宋"/>
          <w:sz w:val="32"/>
          <w:szCs w:val="32"/>
        </w:rPr>
        <w:t>，累计补偿198094人次，大病统筹支付金额24,494.32万元，另</w:t>
      </w:r>
      <w:r>
        <w:rPr>
          <w:rFonts w:hint="eastAsia" w:ascii="华文仿宋" w:hAnsi="华文仿宋" w:eastAsia="华文仿宋" w:cs="华文仿宋"/>
          <w:bCs/>
          <w:sz w:val="32"/>
          <w:szCs w:val="32"/>
        </w:rPr>
        <w:t>2020年度项目资金已完成结算，2021年度项目资金尚未完成结算。</w:t>
      </w:r>
    </w:p>
    <w:p>
      <w:pPr>
        <w:spacing w:line="580" w:lineRule="exact"/>
        <w:ind w:firstLine="562"/>
        <w:jc w:val="both"/>
        <w:rPr>
          <w:rFonts w:ascii="华文仿宋" w:hAnsi="华文仿宋" w:eastAsia="华文仿宋" w:cs="华文仿宋"/>
          <w:b/>
          <w:bCs/>
          <w:sz w:val="32"/>
          <w:szCs w:val="32"/>
        </w:rPr>
      </w:pPr>
      <w:r>
        <w:rPr>
          <w:rFonts w:hint="eastAsia" w:ascii="华文仿宋" w:hAnsi="华文仿宋" w:eastAsia="华文仿宋" w:cs="华文仿宋"/>
          <w:b/>
          <w:bCs/>
          <w:sz w:val="32"/>
          <w:szCs w:val="32"/>
        </w:rPr>
        <w:t>（四）资金投入和使用情况</w:t>
      </w:r>
    </w:p>
    <w:p>
      <w:pPr>
        <w:spacing w:line="580" w:lineRule="exact"/>
        <w:ind w:firstLine="562"/>
        <w:jc w:val="both"/>
        <w:rPr>
          <w:rFonts w:ascii="华文仿宋" w:hAnsi="华文仿宋" w:eastAsia="华文仿宋" w:cs="华文仿宋"/>
          <w:sz w:val="32"/>
          <w:szCs w:val="32"/>
        </w:rPr>
      </w:pPr>
      <w:r>
        <w:rPr>
          <w:rFonts w:hint="eastAsia" w:ascii="华文仿宋" w:hAnsi="华文仿宋" w:eastAsia="华文仿宋" w:cs="华文仿宋"/>
          <w:sz w:val="32"/>
          <w:szCs w:val="32"/>
        </w:rPr>
        <w:t>1、资金投入及到位情况</w:t>
      </w:r>
    </w:p>
    <w:p>
      <w:pPr>
        <w:widowControl w:val="0"/>
        <w:tabs>
          <w:tab w:val="left" w:pos="567"/>
        </w:tabs>
        <w:spacing w:line="580" w:lineRule="exact"/>
        <w:ind w:firstLine="640" w:firstLineChars="200"/>
        <w:jc w:val="both"/>
        <w:rPr>
          <w:rFonts w:ascii="华文仿宋" w:hAnsi="华文仿宋" w:eastAsia="华文仿宋" w:cs="华文仿宋"/>
          <w:sz w:val="32"/>
          <w:szCs w:val="32"/>
        </w:rPr>
      </w:pPr>
      <w:r>
        <w:rPr>
          <w:rFonts w:hint="eastAsia" w:ascii="华文仿宋" w:hAnsi="华文仿宋" w:eastAsia="华文仿宋" w:cs="华文仿宋"/>
          <w:sz w:val="32"/>
          <w:szCs w:val="32"/>
        </w:rPr>
        <w:t>2020年度城乡居民基本医疗参保人数2013354人（含2019年重复参保人数254人），筹资总额为15098.25万元。根据协议规定，太保公司已按筹资总额的85%向市医保经办机构提出资金拨付申请，秦皇岛市医疗保险基金管理中心向财政申请付款后，向太保公司按筹资总额的85%拨付资金，另于结算时拨付剩余15%部分，2020—2021年累计拨付2020年度项目资金15098.25万元。</w:t>
      </w:r>
    </w:p>
    <w:p>
      <w:pPr>
        <w:widowControl w:val="0"/>
        <w:tabs>
          <w:tab w:val="left" w:pos="567"/>
        </w:tabs>
        <w:spacing w:line="580" w:lineRule="exact"/>
        <w:ind w:firstLine="640" w:firstLineChars="200"/>
        <w:jc w:val="both"/>
        <w:rPr>
          <w:rFonts w:ascii="华文仿宋" w:hAnsi="华文仿宋" w:eastAsia="华文仿宋" w:cs="华文仿宋"/>
          <w:sz w:val="32"/>
          <w:szCs w:val="32"/>
        </w:rPr>
      </w:pPr>
      <w:r>
        <w:rPr>
          <w:rFonts w:hint="eastAsia" w:ascii="华文仿宋" w:hAnsi="华文仿宋" w:eastAsia="华文仿宋" w:cs="华文仿宋"/>
          <w:sz w:val="32"/>
          <w:szCs w:val="32"/>
        </w:rPr>
        <w:t>2021年度城乡居民基本医疗参保人数2084919人，筹资总额为15636.89万元。根据协议规定，太保公司已按筹资总额的85%向市医保经办机构提出资金拨付申请，秦皇岛市医疗保险基金管理中心向财政申请付款后，向太保公司拨付2021年度项目资金13185.03万元（不含预留的保证金）。</w:t>
      </w:r>
    </w:p>
    <w:p>
      <w:pPr>
        <w:spacing w:line="580" w:lineRule="exact"/>
        <w:ind w:firstLine="562"/>
        <w:jc w:val="both"/>
        <w:rPr>
          <w:rFonts w:ascii="华文仿宋" w:hAnsi="华文仿宋" w:eastAsia="华文仿宋" w:cs="华文仿宋"/>
          <w:sz w:val="32"/>
          <w:szCs w:val="32"/>
        </w:rPr>
      </w:pPr>
      <w:r>
        <w:rPr>
          <w:rFonts w:hint="eastAsia" w:ascii="华文仿宋" w:hAnsi="华文仿宋" w:eastAsia="华文仿宋" w:cs="华文仿宋"/>
          <w:sz w:val="32"/>
          <w:szCs w:val="32"/>
        </w:rPr>
        <w:t>2、资金使用情况</w:t>
      </w:r>
    </w:p>
    <w:p>
      <w:pPr>
        <w:widowControl w:val="0"/>
        <w:tabs>
          <w:tab w:val="left" w:pos="567"/>
        </w:tabs>
        <w:spacing w:line="580" w:lineRule="exact"/>
        <w:ind w:firstLine="640" w:firstLineChars="200"/>
        <w:jc w:val="both"/>
        <w:rPr>
          <w:rFonts w:ascii="华文仿宋" w:hAnsi="华文仿宋" w:eastAsia="华文仿宋" w:cs="华文仿宋"/>
          <w:sz w:val="32"/>
          <w:szCs w:val="32"/>
        </w:rPr>
      </w:pPr>
      <w:r>
        <w:rPr>
          <w:rFonts w:hint="eastAsia" w:ascii="华文仿宋" w:hAnsi="华文仿宋" w:eastAsia="华文仿宋" w:cs="华文仿宋"/>
          <w:sz w:val="32"/>
          <w:szCs w:val="32"/>
        </w:rPr>
        <w:t>2020年度城乡居民大病保险赔付金额12233.30万元、管理费513.34万元、结余资金2351.61万元。结余资金已于2021年8月13日缴回秦皇岛市财政局社会保障基金专户。2021年度城乡居民大病保险赔付金额12261.02万元，尚未履行资金结算手续。</w:t>
      </w:r>
    </w:p>
    <w:p>
      <w:pPr>
        <w:widowControl w:val="0"/>
        <w:spacing w:line="580" w:lineRule="exact"/>
        <w:ind w:firstLine="704" w:firstLineChars="220"/>
        <w:jc w:val="both"/>
        <w:rPr>
          <w:rFonts w:ascii="华文仿宋" w:hAnsi="华文仿宋" w:eastAsia="华文仿宋" w:cs="华文仿宋"/>
          <w:sz w:val="32"/>
          <w:szCs w:val="32"/>
        </w:rPr>
      </w:pPr>
      <w:r>
        <w:rPr>
          <w:rFonts w:hint="eastAsia" w:ascii="华文仿宋" w:hAnsi="华文仿宋" w:eastAsia="华文仿宋" w:cs="华文仿宋"/>
          <w:sz w:val="32"/>
          <w:szCs w:val="32"/>
        </w:rPr>
        <w:t>截至评价时点，各年度市本级及各县区赔付支出情况见下表：</w:t>
      </w:r>
    </w:p>
    <w:p>
      <w:pPr>
        <w:spacing w:line="300" w:lineRule="exact"/>
        <w:jc w:val="center"/>
        <w:rPr>
          <w:rFonts w:ascii="仿宋_GB2312" w:eastAsia="仿宋_GB2312" w:cs="Arial Narrow"/>
          <w:b/>
          <w:sz w:val="24"/>
        </w:rPr>
      </w:pPr>
      <w:r>
        <w:rPr>
          <w:rFonts w:hint="eastAsia" w:ascii="仿宋_GB2312" w:eastAsia="仿宋_GB2312" w:cs="Arial Narrow"/>
          <w:b/>
          <w:sz w:val="24"/>
        </w:rPr>
        <w:t>2020年度城乡居民大病保险补偿情况表</w:t>
      </w:r>
    </w:p>
    <w:tbl>
      <w:tblPr>
        <w:tblStyle w:val="11"/>
        <w:tblW w:w="9388" w:type="dxa"/>
        <w:tblInd w:w="131" w:type="dxa"/>
        <w:tblLayout w:type="autofit"/>
        <w:tblCellMar>
          <w:top w:w="0" w:type="dxa"/>
          <w:left w:w="108" w:type="dxa"/>
          <w:bottom w:w="0" w:type="dxa"/>
          <w:right w:w="108" w:type="dxa"/>
        </w:tblCellMar>
      </w:tblPr>
      <w:tblGrid>
        <w:gridCol w:w="709"/>
        <w:gridCol w:w="1230"/>
        <w:gridCol w:w="1257"/>
        <w:gridCol w:w="1984"/>
        <w:gridCol w:w="167"/>
        <w:gridCol w:w="1811"/>
        <w:gridCol w:w="167"/>
        <w:gridCol w:w="1899"/>
        <w:gridCol w:w="167"/>
      </w:tblGrid>
      <w:tr>
        <w:tblPrEx>
          <w:tblCellMar>
            <w:top w:w="0" w:type="dxa"/>
            <w:left w:w="108" w:type="dxa"/>
            <w:bottom w:w="0" w:type="dxa"/>
            <w:right w:w="108" w:type="dxa"/>
          </w:tblCellMar>
        </w:tblPrEx>
        <w:trPr>
          <w:gridAfter w:val="1"/>
          <w:wAfter w:w="167" w:type="dxa"/>
          <w:trHeight w:val="119" w:hRule="atLeast"/>
        </w:trPr>
        <w:tc>
          <w:tcPr>
            <w:tcW w:w="9224" w:type="dxa"/>
            <w:gridSpan w:val="8"/>
            <w:tcBorders>
              <w:bottom w:val="single" w:color="auto" w:sz="4" w:space="0"/>
            </w:tcBorders>
            <w:shd w:val="clear" w:color="auto" w:fill="auto"/>
            <w:vAlign w:val="center"/>
          </w:tcPr>
          <w:p>
            <w:pPr>
              <w:spacing w:line="300" w:lineRule="exact"/>
              <w:jc w:val="right"/>
              <w:rPr>
                <w:rFonts w:ascii="Arial Narrow" w:hAnsi="Arial Narrow" w:eastAsia="楷体" w:cs="Arial Narrow"/>
                <w:sz w:val="24"/>
              </w:rPr>
            </w:pPr>
            <w:r>
              <w:rPr>
                <w:rFonts w:ascii="Arial Narrow" w:hAnsi="Arial Narrow" w:eastAsia="楷体" w:cs="Arial Narrow"/>
                <w:sz w:val="24"/>
              </w:rPr>
              <w:t>单位：元</w:t>
            </w:r>
          </w:p>
        </w:tc>
      </w:tr>
      <w:tr>
        <w:tblPrEx>
          <w:tblCellMar>
            <w:top w:w="0" w:type="dxa"/>
            <w:left w:w="108" w:type="dxa"/>
            <w:bottom w:w="0" w:type="dxa"/>
            <w:right w:w="108" w:type="dxa"/>
          </w:tblCellMar>
        </w:tblPrEx>
        <w:trPr>
          <w:gridAfter w:val="1"/>
          <w:wAfter w:w="167" w:type="dxa"/>
          <w:trHeight w:val="110" w:hRule="atLeast"/>
        </w:trPr>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exact"/>
              <w:jc w:val="center"/>
              <w:rPr>
                <w:rFonts w:ascii="仿宋_GB2312" w:eastAsia="仿宋_GB2312" w:cs="Arial Narrow"/>
                <w:b/>
                <w:bCs/>
                <w:sz w:val="21"/>
                <w:szCs w:val="21"/>
              </w:rPr>
            </w:pPr>
            <w:r>
              <w:rPr>
                <w:rFonts w:hint="eastAsia" w:ascii="仿宋_GB2312" w:eastAsia="仿宋_GB2312" w:cs="Arial Narrow"/>
                <w:b/>
                <w:bCs/>
                <w:sz w:val="21"/>
                <w:szCs w:val="21"/>
              </w:rPr>
              <w:t>序号</w:t>
            </w:r>
          </w:p>
        </w:tc>
        <w:tc>
          <w:tcPr>
            <w:tcW w:w="123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exact"/>
              <w:jc w:val="center"/>
              <w:rPr>
                <w:rFonts w:ascii="仿宋_GB2312" w:eastAsia="仿宋_GB2312" w:cs="Arial Narrow"/>
                <w:b/>
                <w:bCs/>
                <w:sz w:val="21"/>
                <w:szCs w:val="21"/>
              </w:rPr>
            </w:pPr>
            <w:r>
              <w:rPr>
                <w:rFonts w:hint="eastAsia" w:ascii="仿宋_GB2312" w:eastAsia="仿宋_GB2312" w:cs="Arial Narrow"/>
                <w:b/>
                <w:bCs/>
                <w:sz w:val="21"/>
                <w:szCs w:val="21"/>
              </w:rPr>
              <w:t>县  区</w:t>
            </w:r>
          </w:p>
        </w:tc>
        <w:tc>
          <w:tcPr>
            <w:tcW w:w="125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exact"/>
              <w:jc w:val="center"/>
              <w:rPr>
                <w:rFonts w:ascii="仿宋_GB2312" w:eastAsia="仿宋_GB2312" w:cs="Arial Narrow"/>
                <w:b/>
                <w:bCs/>
                <w:sz w:val="21"/>
                <w:szCs w:val="21"/>
              </w:rPr>
            </w:pPr>
            <w:r>
              <w:rPr>
                <w:rFonts w:hint="eastAsia" w:ascii="仿宋_GB2312" w:eastAsia="仿宋_GB2312" w:cs="Arial Narrow"/>
                <w:b/>
                <w:bCs/>
                <w:sz w:val="21"/>
                <w:szCs w:val="21"/>
              </w:rPr>
              <w:t>补偿人次</w:t>
            </w:r>
          </w:p>
        </w:tc>
        <w:tc>
          <w:tcPr>
            <w:tcW w:w="198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exact"/>
              <w:jc w:val="center"/>
              <w:rPr>
                <w:rFonts w:ascii="仿宋_GB2312" w:eastAsia="仿宋_GB2312" w:cs="Arial Narrow"/>
                <w:b/>
                <w:bCs/>
                <w:sz w:val="21"/>
                <w:szCs w:val="21"/>
              </w:rPr>
            </w:pPr>
            <w:r>
              <w:rPr>
                <w:rFonts w:hint="eastAsia" w:ascii="仿宋_GB2312" w:eastAsia="仿宋_GB2312" w:cs="Arial Narrow"/>
                <w:b/>
                <w:bCs/>
                <w:sz w:val="21"/>
                <w:szCs w:val="21"/>
              </w:rPr>
              <w:t>医疗费总额</w:t>
            </w:r>
          </w:p>
        </w:tc>
        <w:tc>
          <w:tcPr>
            <w:tcW w:w="197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exact"/>
              <w:jc w:val="center"/>
              <w:rPr>
                <w:rFonts w:ascii="仿宋_GB2312" w:eastAsia="仿宋_GB2312" w:cs="Arial Narrow"/>
                <w:b/>
                <w:bCs/>
                <w:sz w:val="21"/>
                <w:szCs w:val="21"/>
              </w:rPr>
            </w:pPr>
            <w:r>
              <w:rPr>
                <w:rFonts w:hint="eastAsia" w:ascii="仿宋_GB2312" w:eastAsia="仿宋_GB2312" w:cs="Arial Narrow"/>
                <w:b/>
                <w:bCs/>
                <w:sz w:val="21"/>
                <w:szCs w:val="21"/>
              </w:rPr>
              <w:t>统筹支付金额</w:t>
            </w:r>
          </w:p>
        </w:tc>
        <w:tc>
          <w:tcPr>
            <w:tcW w:w="2066"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exact"/>
              <w:jc w:val="center"/>
              <w:rPr>
                <w:rFonts w:ascii="仿宋_GB2312" w:eastAsia="仿宋_GB2312" w:cs="Arial Narrow"/>
                <w:b/>
                <w:bCs/>
                <w:sz w:val="21"/>
                <w:szCs w:val="21"/>
              </w:rPr>
            </w:pPr>
            <w:r>
              <w:rPr>
                <w:rFonts w:hint="eastAsia" w:ascii="仿宋_GB2312" w:eastAsia="仿宋_GB2312" w:cs="Arial Narrow"/>
                <w:b/>
                <w:bCs/>
                <w:sz w:val="21"/>
                <w:szCs w:val="21"/>
              </w:rPr>
              <w:t>大病统筹支付</w:t>
            </w:r>
          </w:p>
        </w:tc>
      </w:tr>
      <w:tr>
        <w:tblPrEx>
          <w:tblCellMar>
            <w:top w:w="0" w:type="dxa"/>
            <w:left w:w="108" w:type="dxa"/>
            <w:bottom w:w="0" w:type="dxa"/>
            <w:right w:w="108" w:type="dxa"/>
          </w:tblCellMar>
        </w:tblPrEx>
        <w:trPr>
          <w:gridAfter w:val="1"/>
          <w:wAfter w:w="167" w:type="dxa"/>
          <w:trHeight w:val="109" w:hRule="atLeast"/>
        </w:trPr>
        <w:tc>
          <w:tcPr>
            <w:tcW w:w="709"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spacing w:line="300" w:lineRule="exact"/>
              <w:jc w:val="center"/>
              <w:rPr>
                <w:rFonts w:ascii="仿宋_GB2312" w:eastAsia="仿宋_GB2312" w:cs="Arial Narrow"/>
                <w:sz w:val="21"/>
                <w:szCs w:val="21"/>
              </w:rPr>
            </w:pPr>
            <w:r>
              <w:rPr>
                <w:rFonts w:hint="eastAsia" w:ascii="仿宋_GB2312" w:eastAsia="仿宋_GB2312" w:cs="Arial Narrow"/>
                <w:sz w:val="21"/>
                <w:szCs w:val="21"/>
              </w:rPr>
              <w:t>1</w:t>
            </w:r>
          </w:p>
        </w:tc>
        <w:tc>
          <w:tcPr>
            <w:tcW w:w="123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spacing w:line="300" w:lineRule="exact"/>
              <w:jc w:val="center"/>
              <w:rPr>
                <w:rFonts w:ascii="仿宋_GB2312" w:eastAsia="仿宋_GB2312" w:cs="Arial Narrow"/>
                <w:sz w:val="21"/>
                <w:szCs w:val="21"/>
              </w:rPr>
            </w:pPr>
            <w:r>
              <w:rPr>
                <w:rFonts w:hint="eastAsia" w:ascii="仿宋_GB2312" w:eastAsia="仿宋_GB2312" w:cs="Arial Narrow"/>
                <w:sz w:val="21"/>
                <w:szCs w:val="21"/>
              </w:rPr>
              <w:t>北戴河</w:t>
            </w:r>
          </w:p>
        </w:tc>
        <w:tc>
          <w:tcPr>
            <w:tcW w:w="1257"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300" w:lineRule="exact"/>
              <w:jc w:val="center"/>
              <w:rPr>
                <w:rFonts w:ascii="仿宋_GB2312" w:eastAsia="仿宋_GB2312" w:cs="Arial Narrow"/>
                <w:sz w:val="21"/>
                <w:szCs w:val="21"/>
              </w:rPr>
            </w:pPr>
            <w:r>
              <w:rPr>
                <w:rFonts w:hint="eastAsia" w:ascii="仿宋_GB2312" w:eastAsia="仿宋_GB2312" w:cs="Arial Narrow"/>
                <w:sz w:val="21"/>
                <w:szCs w:val="21"/>
              </w:rPr>
              <w:t>4651</w:t>
            </w:r>
          </w:p>
        </w:tc>
        <w:tc>
          <w:tcPr>
            <w:tcW w:w="1984"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300" w:lineRule="exact"/>
              <w:jc w:val="center"/>
              <w:rPr>
                <w:rFonts w:ascii="仿宋_GB2312" w:eastAsia="仿宋_GB2312" w:cs="Arial Narrow"/>
                <w:sz w:val="21"/>
                <w:szCs w:val="21"/>
              </w:rPr>
            </w:pPr>
            <w:r>
              <w:rPr>
                <w:rFonts w:hint="eastAsia" w:ascii="仿宋_GB2312" w:eastAsia="仿宋_GB2312" w:cs="Arial Narrow"/>
                <w:sz w:val="21"/>
                <w:szCs w:val="21"/>
              </w:rPr>
              <w:t xml:space="preserve"> 37,832,608.16 </w:t>
            </w:r>
          </w:p>
        </w:tc>
        <w:tc>
          <w:tcPr>
            <w:tcW w:w="1978"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300" w:lineRule="exact"/>
              <w:jc w:val="center"/>
              <w:rPr>
                <w:rFonts w:ascii="仿宋_GB2312" w:eastAsia="仿宋_GB2312" w:cs="Arial Narrow"/>
                <w:sz w:val="21"/>
                <w:szCs w:val="21"/>
              </w:rPr>
            </w:pPr>
            <w:r>
              <w:rPr>
                <w:rFonts w:hint="eastAsia" w:ascii="仿宋_GB2312" w:eastAsia="仿宋_GB2312" w:cs="Arial Narrow"/>
                <w:sz w:val="21"/>
                <w:szCs w:val="21"/>
              </w:rPr>
              <w:t xml:space="preserve"> 16,918,547.39 </w:t>
            </w:r>
          </w:p>
        </w:tc>
        <w:tc>
          <w:tcPr>
            <w:tcW w:w="206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300" w:lineRule="exact"/>
              <w:jc w:val="center"/>
              <w:rPr>
                <w:rFonts w:ascii="仿宋_GB2312" w:eastAsia="仿宋_GB2312" w:cs="Arial Narrow"/>
                <w:sz w:val="21"/>
                <w:szCs w:val="21"/>
              </w:rPr>
            </w:pPr>
            <w:r>
              <w:rPr>
                <w:rFonts w:hint="eastAsia" w:ascii="仿宋_GB2312" w:eastAsia="仿宋_GB2312" w:cs="Arial Narrow"/>
                <w:sz w:val="21"/>
                <w:szCs w:val="21"/>
              </w:rPr>
              <w:t xml:space="preserve"> 4,832,959.97 </w:t>
            </w:r>
          </w:p>
        </w:tc>
      </w:tr>
      <w:tr>
        <w:tblPrEx>
          <w:tblCellMar>
            <w:top w:w="0" w:type="dxa"/>
            <w:left w:w="108" w:type="dxa"/>
            <w:bottom w:w="0" w:type="dxa"/>
            <w:right w:w="108" w:type="dxa"/>
          </w:tblCellMar>
        </w:tblPrEx>
        <w:trPr>
          <w:gridAfter w:val="1"/>
          <w:wAfter w:w="167" w:type="dxa"/>
          <w:trHeight w:val="109" w:hRule="atLeast"/>
        </w:trPr>
        <w:tc>
          <w:tcPr>
            <w:tcW w:w="709"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spacing w:line="300" w:lineRule="exact"/>
              <w:jc w:val="center"/>
              <w:rPr>
                <w:rFonts w:ascii="仿宋_GB2312" w:eastAsia="仿宋_GB2312" w:cs="Arial Narrow"/>
                <w:sz w:val="21"/>
                <w:szCs w:val="21"/>
              </w:rPr>
            </w:pPr>
            <w:r>
              <w:rPr>
                <w:rFonts w:hint="eastAsia" w:ascii="仿宋_GB2312" w:eastAsia="仿宋_GB2312" w:cs="Arial Narrow"/>
                <w:sz w:val="21"/>
                <w:szCs w:val="21"/>
              </w:rPr>
              <w:t>2</w:t>
            </w:r>
          </w:p>
        </w:tc>
        <w:tc>
          <w:tcPr>
            <w:tcW w:w="123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spacing w:line="300" w:lineRule="exact"/>
              <w:jc w:val="center"/>
              <w:rPr>
                <w:rFonts w:ascii="仿宋_GB2312" w:eastAsia="仿宋_GB2312" w:cs="Arial Narrow"/>
                <w:sz w:val="21"/>
                <w:szCs w:val="21"/>
              </w:rPr>
            </w:pPr>
            <w:r>
              <w:rPr>
                <w:rFonts w:hint="eastAsia" w:ascii="仿宋_GB2312" w:eastAsia="仿宋_GB2312" w:cs="Arial Narrow"/>
                <w:sz w:val="21"/>
                <w:szCs w:val="21"/>
              </w:rPr>
              <w:t>北新区</w:t>
            </w:r>
          </w:p>
        </w:tc>
        <w:tc>
          <w:tcPr>
            <w:tcW w:w="1257"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300" w:lineRule="exact"/>
              <w:jc w:val="center"/>
              <w:rPr>
                <w:rFonts w:ascii="仿宋_GB2312" w:eastAsia="仿宋_GB2312" w:cs="Arial Narrow"/>
                <w:sz w:val="21"/>
                <w:szCs w:val="21"/>
              </w:rPr>
            </w:pPr>
            <w:r>
              <w:rPr>
                <w:rFonts w:hint="eastAsia" w:ascii="仿宋_GB2312" w:eastAsia="仿宋_GB2312" w:cs="Arial Narrow"/>
                <w:sz w:val="21"/>
                <w:szCs w:val="21"/>
              </w:rPr>
              <w:t>4277</w:t>
            </w:r>
          </w:p>
        </w:tc>
        <w:tc>
          <w:tcPr>
            <w:tcW w:w="1984"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300" w:lineRule="exact"/>
              <w:jc w:val="center"/>
              <w:rPr>
                <w:rFonts w:ascii="仿宋_GB2312" w:eastAsia="仿宋_GB2312" w:cs="Arial Narrow"/>
                <w:sz w:val="21"/>
                <w:szCs w:val="21"/>
              </w:rPr>
            </w:pPr>
            <w:r>
              <w:rPr>
                <w:rFonts w:hint="eastAsia" w:ascii="仿宋_GB2312" w:eastAsia="仿宋_GB2312" w:cs="Arial Narrow"/>
                <w:sz w:val="21"/>
                <w:szCs w:val="21"/>
              </w:rPr>
              <w:t xml:space="preserve"> 32,862,782.96 </w:t>
            </w:r>
          </w:p>
        </w:tc>
        <w:tc>
          <w:tcPr>
            <w:tcW w:w="1978"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300" w:lineRule="exact"/>
              <w:jc w:val="center"/>
              <w:rPr>
                <w:rFonts w:ascii="仿宋_GB2312" w:eastAsia="仿宋_GB2312" w:cs="Arial Narrow"/>
                <w:sz w:val="21"/>
                <w:szCs w:val="21"/>
              </w:rPr>
            </w:pPr>
            <w:r>
              <w:rPr>
                <w:rFonts w:hint="eastAsia" w:ascii="仿宋_GB2312" w:eastAsia="仿宋_GB2312" w:cs="Arial Narrow"/>
                <w:sz w:val="21"/>
                <w:szCs w:val="21"/>
              </w:rPr>
              <w:t xml:space="preserve"> 14,040,029.91 </w:t>
            </w:r>
          </w:p>
        </w:tc>
        <w:tc>
          <w:tcPr>
            <w:tcW w:w="206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300" w:lineRule="exact"/>
              <w:jc w:val="center"/>
              <w:rPr>
                <w:rFonts w:ascii="仿宋_GB2312" w:eastAsia="仿宋_GB2312" w:cs="Arial Narrow"/>
                <w:sz w:val="21"/>
                <w:szCs w:val="21"/>
              </w:rPr>
            </w:pPr>
            <w:r>
              <w:rPr>
                <w:rFonts w:hint="eastAsia" w:ascii="仿宋_GB2312" w:eastAsia="仿宋_GB2312" w:cs="Arial Narrow"/>
                <w:sz w:val="21"/>
                <w:szCs w:val="21"/>
              </w:rPr>
              <w:t xml:space="preserve"> 4,441,709.12 </w:t>
            </w:r>
          </w:p>
        </w:tc>
      </w:tr>
      <w:tr>
        <w:tblPrEx>
          <w:tblCellMar>
            <w:top w:w="0" w:type="dxa"/>
            <w:left w:w="108" w:type="dxa"/>
            <w:bottom w:w="0" w:type="dxa"/>
            <w:right w:w="108" w:type="dxa"/>
          </w:tblCellMar>
        </w:tblPrEx>
        <w:trPr>
          <w:gridAfter w:val="1"/>
          <w:wAfter w:w="167" w:type="dxa"/>
          <w:trHeight w:val="109" w:hRule="atLeast"/>
        </w:trPr>
        <w:tc>
          <w:tcPr>
            <w:tcW w:w="709"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spacing w:line="300" w:lineRule="exact"/>
              <w:jc w:val="center"/>
              <w:rPr>
                <w:rFonts w:ascii="仿宋_GB2312" w:eastAsia="仿宋_GB2312" w:cs="Arial Narrow"/>
                <w:sz w:val="21"/>
                <w:szCs w:val="21"/>
              </w:rPr>
            </w:pPr>
            <w:r>
              <w:rPr>
                <w:rFonts w:hint="eastAsia" w:ascii="仿宋_GB2312" w:eastAsia="仿宋_GB2312" w:cs="Arial Narrow"/>
                <w:sz w:val="21"/>
                <w:szCs w:val="21"/>
              </w:rPr>
              <w:t>3</w:t>
            </w:r>
          </w:p>
        </w:tc>
        <w:tc>
          <w:tcPr>
            <w:tcW w:w="123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spacing w:line="300" w:lineRule="exact"/>
              <w:jc w:val="center"/>
              <w:rPr>
                <w:rFonts w:ascii="仿宋_GB2312" w:eastAsia="仿宋_GB2312" w:cs="Arial Narrow"/>
                <w:sz w:val="21"/>
                <w:szCs w:val="21"/>
              </w:rPr>
            </w:pPr>
            <w:r>
              <w:rPr>
                <w:rFonts w:hint="eastAsia" w:ascii="仿宋_GB2312" w:eastAsia="仿宋_GB2312" w:cs="Arial Narrow"/>
                <w:sz w:val="21"/>
                <w:szCs w:val="21"/>
              </w:rPr>
              <w:t>昌黎县</w:t>
            </w:r>
          </w:p>
        </w:tc>
        <w:tc>
          <w:tcPr>
            <w:tcW w:w="1257"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300" w:lineRule="exact"/>
              <w:jc w:val="center"/>
              <w:rPr>
                <w:rFonts w:ascii="仿宋_GB2312" w:eastAsia="仿宋_GB2312" w:cs="Arial Narrow"/>
                <w:sz w:val="21"/>
                <w:szCs w:val="21"/>
              </w:rPr>
            </w:pPr>
            <w:r>
              <w:rPr>
                <w:rFonts w:hint="eastAsia" w:ascii="仿宋_GB2312" w:eastAsia="仿宋_GB2312" w:cs="Arial Narrow"/>
                <w:sz w:val="21"/>
                <w:szCs w:val="21"/>
              </w:rPr>
              <w:t>32101</w:t>
            </w:r>
          </w:p>
        </w:tc>
        <w:tc>
          <w:tcPr>
            <w:tcW w:w="1984"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300" w:lineRule="exact"/>
              <w:jc w:val="center"/>
              <w:rPr>
                <w:rFonts w:ascii="仿宋_GB2312" w:eastAsia="仿宋_GB2312" w:cs="Arial Narrow"/>
                <w:sz w:val="21"/>
                <w:szCs w:val="21"/>
              </w:rPr>
            </w:pPr>
            <w:r>
              <w:rPr>
                <w:rFonts w:hint="eastAsia" w:ascii="仿宋_GB2312" w:eastAsia="仿宋_GB2312" w:cs="Arial Narrow"/>
                <w:sz w:val="21"/>
                <w:szCs w:val="21"/>
              </w:rPr>
              <w:t xml:space="preserve">203,877,392.98 </w:t>
            </w:r>
          </w:p>
        </w:tc>
        <w:tc>
          <w:tcPr>
            <w:tcW w:w="1978"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300" w:lineRule="exact"/>
              <w:jc w:val="center"/>
              <w:rPr>
                <w:rFonts w:ascii="仿宋_GB2312" w:eastAsia="仿宋_GB2312" w:cs="Arial Narrow"/>
                <w:sz w:val="21"/>
                <w:szCs w:val="21"/>
              </w:rPr>
            </w:pPr>
            <w:r>
              <w:rPr>
                <w:rFonts w:hint="eastAsia" w:ascii="仿宋_GB2312" w:eastAsia="仿宋_GB2312" w:cs="Arial Narrow"/>
                <w:sz w:val="21"/>
                <w:szCs w:val="21"/>
              </w:rPr>
              <w:t xml:space="preserve"> 85,753,668.02 </w:t>
            </w:r>
          </w:p>
        </w:tc>
        <w:tc>
          <w:tcPr>
            <w:tcW w:w="206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300" w:lineRule="exact"/>
              <w:jc w:val="center"/>
              <w:rPr>
                <w:rFonts w:ascii="仿宋_GB2312" w:eastAsia="仿宋_GB2312" w:cs="Arial Narrow"/>
                <w:sz w:val="21"/>
                <w:szCs w:val="21"/>
              </w:rPr>
            </w:pPr>
            <w:r>
              <w:rPr>
                <w:rFonts w:hint="eastAsia" w:ascii="仿宋_GB2312" w:eastAsia="仿宋_GB2312" w:cs="Arial Narrow"/>
                <w:sz w:val="21"/>
                <w:szCs w:val="21"/>
              </w:rPr>
              <w:t xml:space="preserve"> 25,567,829.07 </w:t>
            </w:r>
          </w:p>
        </w:tc>
      </w:tr>
      <w:tr>
        <w:tblPrEx>
          <w:tblCellMar>
            <w:top w:w="0" w:type="dxa"/>
            <w:left w:w="108" w:type="dxa"/>
            <w:bottom w:w="0" w:type="dxa"/>
            <w:right w:w="108" w:type="dxa"/>
          </w:tblCellMar>
        </w:tblPrEx>
        <w:trPr>
          <w:gridAfter w:val="1"/>
          <w:wAfter w:w="167" w:type="dxa"/>
          <w:trHeight w:val="109"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300" w:lineRule="exact"/>
              <w:jc w:val="center"/>
              <w:rPr>
                <w:rFonts w:ascii="仿宋_GB2312" w:eastAsia="仿宋_GB2312" w:cs="Arial Narrow"/>
                <w:sz w:val="21"/>
                <w:szCs w:val="21"/>
              </w:rPr>
            </w:pPr>
            <w:r>
              <w:rPr>
                <w:rFonts w:hint="eastAsia" w:ascii="仿宋_GB2312" w:eastAsia="仿宋_GB2312" w:cs="Arial Narrow"/>
                <w:sz w:val="21"/>
                <w:szCs w:val="21"/>
              </w:rPr>
              <w:t>4</w:t>
            </w:r>
          </w:p>
        </w:tc>
        <w:tc>
          <w:tcPr>
            <w:tcW w:w="1230"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300" w:lineRule="exact"/>
              <w:jc w:val="center"/>
              <w:rPr>
                <w:rFonts w:ascii="仿宋_GB2312" w:eastAsia="仿宋_GB2312" w:cs="Arial Narrow"/>
                <w:sz w:val="21"/>
                <w:szCs w:val="21"/>
              </w:rPr>
            </w:pPr>
            <w:r>
              <w:rPr>
                <w:rFonts w:hint="eastAsia" w:ascii="仿宋_GB2312" w:eastAsia="仿宋_GB2312" w:cs="Arial Narrow"/>
                <w:sz w:val="21"/>
                <w:szCs w:val="21"/>
              </w:rPr>
              <w:t>抚宁区</w:t>
            </w:r>
          </w:p>
        </w:tc>
        <w:tc>
          <w:tcPr>
            <w:tcW w:w="1257"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300" w:lineRule="exact"/>
              <w:jc w:val="center"/>
              <w:rPr>
                <w:rFonts w:ascii="仿宋_GB2312" w:eastAsia="仿宋_GB2312" w:cs="Arial Narrow"/>
                <w:sz w:val="21"/>
                <w:szCs w:val="21"/>
              </w:rPr>
            </w:pPr>
            <w:r>
              <w:rPr>
                <w:rFonts w:hint="eastAsia" w:ascii="仿宋_GB2312" w:eastAsia="仿宋_GB2312" w:cs="Arial Narrow"/>
                <w:sz w:val="21"/>
                <w:szCs w:val="21"/>
              </w:rPr>
              <w:t>9993</w:t>
            </w:r>
          </w:p>
        </w:tc>
        <w:tc>
          <w:tcPr>
            <w:tcW w:w="1984"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300" w:lineRule="exact"/>
              <w:jc w:val="center"/>
              <w:rPr>
                <w:rFonts w:ascii="仿宋_GB2312" w:eastAsia="仿宋_GB2312" w:cs="Arial Narrow"/>
                <w:sz w:val="21"/>
                <w:szCs w:val="21"/>
              </w:rPr>
            </w:pPr>
            <w:r>
              <w:rPr>
                <w:rFonts w:hint="eastAsia" w:ascii="仿宋_GB2312" w:eastAsia="仿宋_GB2312" w:cs="Arial Narrow"/>
                <w:sz w:val="21"/>
                <w:szCs w:val="21"/>
              </w:rPr>
              <w:t xml:space="preserve">114,868,659.99 </w:t>
            </w:r>
          </w:p>
        </w:tc>
        <w:tc>
          <w:tcPr>
            <w:tcW w:w="1978"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300" w:lineRule="exact"/>
              <w:jc w:val="center"/>
              <w:rPr>
                <w:rFonts w:ascii="仿宋_GB2312" w:eastAsia="仿宋_GB2312" w:cs="Arial Narrow"/>
                <w:sz w:val="21"/>
                <w:szCs w:val="21"/>
              </w:rPr>
            </w:pPr>
            <w:r>
              <w:rPr>
                <w:rFonts w:hint="eastAsia" w:ascii="仿宋_GB2312" w:eastAsia="仿宋_GB2312" w:cs="Arial Narrow"/>
                <w:sz w:val="21"/>
                <w:szCs w:val="21"/>
              </w:rPr>
              <w:t xml:space="preserve"> 51,492,933.72 </w:t>
            </w:r>
          </w:p>
        </w:tc>
        <w:tc>
          <w:tcPr>
            <w:tcW w:w="206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300" w:lineRule="exact"/>
              <w:jc w:val="center"/>
              <w:rPr>
                <w:rFonts w:ascii="仿宋_GB2312" w:eastAsia="仿宋_GB2312" w:cs="Arial Narrow"/>
                <w:sz w:val="21"/>
                <w:szCs w:val="21"/>
              </w:rPr>
            </w:pPr>
            <w:r>
              <w:rPr>
                <w:rFonts w:hint="eastAsia" w:ascii="仿宋_GB2312" w:eastAsia="仿宋_GB2312" w:cs="Arial Narrow"/>
                <w:sz w:val="21"/>
                <w:szCs w:val="21"/>
              </w:rPr>
              <w:t xml:space="preserve"> 13,891,863.86 </w:t>
            </w:r>
          </w:p>
        </w:tc>
      </w:tr>
      <w:tr>
        <w:tblPrEx>
          <w:tblCellMar>
            <w:top w:w="0" w:type="dxa"/>
            <w:left w:w="108" w:type="dxa"/>
            <w:bottom w:w="0" w:type="dxa"/>
            <w:right w:w="108" w:type="dxa"/>
          </w:tblCellMar>
        </w:tblPrEx>
        <w:trPr>
          <w:gridAfter w:val="1"/>
          <w:wAfter w:w="167" w:type="dxa"/>
          <w:trHeight w:val="109"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300" w:lineRule="exact"/>
              <w:jc w:val="center"/>
              <w:rPr>
                <w:rFonts w:ascii="仿宋_GB2312" w:eastAsia="仿宋_GB2312" w:cs="Arial Narrow"/>
                <w:sz w:val="21"/>
                <w:szCs w:val="21"/>
              </w:rPr>
            </w:pPr>
            <w:r>
              <w:rPr>
                <w:rFonts w:hint="eastAsia" w:ascii="仿宋_GB2312" w:eastAsia="仿宋_GB2312" w:cs="Arial Narrow"/>
                <w:sz w:val="21"/>
                <w:szCs w:val="21"/>
              </w:rPr>
              <w:t>5</w:t>
            </w:r>
          </w:p>
        </w:tc>
        <w:tc>
          <w:tcPr>
            <w:tcW w:w="1230"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300" w:lineRule="exact"/>
              <w:jc w:val="center"/>
              <w:rPr>
                <w:rFonts w:ascii="仿宋_GB2312" w:eastAsia="仿宋_GB2312" w:cs="Arial Narrow"/>
                <w:sz w:val="21"/>
                <w:szCs w:val="21"/>
              </w:rPr>
            </w:pPr>
            <w:r>
              <w:rPr>
                <w:rFonts w:hint="eastAsia" w:ascii="仿宋_GB2312" w:eastAsia="仿宋_GB2312" w:cs="Arial Narrow"/>
                <w:sz w:val="21"/>
                <w:szCs w:val="21"/>
              </w:rPr>
              <w:t>海港区</w:t>
            </w:r>
          </w:p>
        </w:tc>
        <w:tc>
          <w:tcPr>
            <w:tcW w:w="1257"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300" w:lineRule="exact"/>
              <w:jc w:val="center"/>
              <w:rPr>
                <w:rFonts w:ascii="仿宋_GB2312" w:eastAsia="仿宋_GB2312" w:cs="Arial Narrow"/>
                <w:sz w:val="21"/>
                <w:szCs w:val="21"/>
              </w:rPr>
            </w:pPr>
            <w:r>
              <w:rPr>
                <w:rFonts w:hint="eastAsia" w:ascii="仿宋_GB2312" w:eastAsia="仿宋_GB2312" w:cs="Arial Narrow"/>
                <w:sz w:val="21"/>
                <w:szCs w:val="21"/>
              </w:rPr>
              <w:t>15335</w:t>
            </w:r>
          </w:p>
        </w:tc>
        <w:tc>
          <w:tcPr>
            <w:tcW w:w="1984"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300" w:lineRule="exact"/>
              <w:jc w:val="center"/>
              <w:rPr>
                <w:rFonts w:ascii="仿宋_GB2312" w:eastAsia="仿宋_GB2312" w:cs="Arial Narrow"/>
                <w:sz w:val="21"/>
                <w:szCs w:val="21"/>
              </w:rPr>
            </w:pPr>
            <w:r>
              <w:rPr>
                <w:rFonts w:hint="eastAsia" w:ascii="仿宋_GB2312" w:eastAsia="仿宋_GB2312" w:cs="Arial Narrow"/>
                <w:sz w:val="21"/>
                <w:szCs w:val="21"/>
              </w:rPr>
              <w:t xml:space="preserve">182,405,547.99 </w:t>
            </w:r>
          </w:p>
        </w:tc>
        <w:tc>
          <w:tcPr>
            <w:tcW w:w="1978"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300" w:lineRule="exact"/>
              <w:jc w:val="center"/>
              <w:rPr>
                <w:rFonts w:ascii="仿宋_GB2312" w:eastAsia="仿宋_GB2312" w:cs="Arial Narrow"/>
                <w:sz w:val="21"/>
                <w:szCs w:val="21"/>
              </w:rPr>
            </w:pPr>
            <w:r>
              <w:rPr>
                <w:rFonts w:hint="eastAsia" w:ascii="仿宋_GB2312" w:eastAsia="仿宋_GB2312" w:cs="Arial Narrow"/>
                <w:sz w:val="21"/>
                <w:szCs w:val="21"/>
              </w:rPr>
              <w:t xml:space="preserve"> 80,860,617.60 </w:t>
            </w:r>
          </w:p>
        </w:tc>
        <w:tc>
          <w:tcPr>
            <w:tcW w:w="206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300" w:lineRule="exact"/>
              <w:jc w:val="center"/>
              <w:rPr>
                <w:rFonts w:ascii="仿宋_GB2312" w:eastAsia="仿宋_GB2312" w:cs="Arial Narrow"/>
                <w:sz w:val="21"/>
                <w:szCs w:val="21"/>
              </w:rPr>
            </w:pPr>
            <w:r>
              <w:rPr>
                <w:rFonts w:hint="eastAsia" w:ascii="仿宋_GB2312" w:eastAsia="仿宋_GB2312" w:cs="Arial Narrow"/>
                <w:sz w:val="21"/>
                <w:szCs w:val="21"/>
              </w:rPr>
              <w:t xml:space="preserve"> 23,541,609.96 </w:t>
            </w:r>
          </w:p>
        </w:tc>
      </w:tr>
      <w:tr>
        <w:tblPrEx>
          <w:tblCellMar>
            <w:top w:w="0" w:type="dxa"/>
            <w:left w:w="108" w:type="dxa"/>
            <w:bottom w:w="0" w:type="dxa"/>
            <w:right w:w="108" w:type="dxa"/>
          </w:tblCellMar>
        </w:tblPrEx>
        <w:trPr>
          <w:gridAfter w:val="1"/>
          <w:wAfter w:w="167" w:type="dxa"/>
          <w:trHeight w:val="109"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300" w:lineRule="exact"/>
              <w:jc w:val="center"/>
              <w:rPr>
                <w:rFonts w:ascii="仿宋_GB2312" w:eastAsia="仿宋_GB2312" w:cs="Arial Narrow"/>
                <w:sz w:val="21"/>
                <w:szCs w:val="21"/>
              </w:rPr>
            </w:pPr>
            <w:r>
              <w:rPr>
                <w:rFonts w:hint="eastAsia" w:ascii="仿宋_GB2312" w:eastAsia="仿宋_GB2312" w:cs="Arial Narrow"/>
                <w:sz w:val="21"/>
                <w:szCs w:val="21"/>
              </w:rPr>
              <w:t>6</w:t>
            </w:r>
          </w:p>
        </w:tc>
        <w:tc>
          <w:tcPr>
            <w:tcW w:w="1230"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300" w:lineRule="exact"/>
              <w:jc w:val="center"/>
              <w:rPr>
                <w:rFonts w:ascii="仿宋_GB2312" w:eastAsia="仿宋_GB2312" w:cs="Arial Narrow"/>
                <w:sz w:val="21"/>
                <w:szCs w:val="21"/>
              </w:rPr>
            </w:pPr>
            <w:r>
              <w:rPr>
                <w:rFonts w:hint="eastAsia" w:ascii="仿宋_GB2312" w:eastAsia="仿宋_GB2312" w:cs="Arial Narrow"/>
                <w:sz w:val="21"/>
                <w:szCs w:val="21"/>
              </w:rPr>
              <w:t>开发区</w:t>
            </w:r>
          </w:p>
        </w:tc>
        <w:tc>
          <w:tcPr>
            <w:tcW w:w="1257"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300" w:lineRule="exact"/>
              <w:jc w:val="center"/>
              <w:rPr>
                <w:rFonts w:ascii="仿宋_GB2312" w:eastAsia="仿宋_GB2312" w:cs="Arial Narrow"/>
                <w:sz w:val="21"/>
                <w:szCs w:val="21"/>
              </w:rPr>
            </w:pPr>
            <w:r>
              <w:rPr>
                <w:rFonts w:hint="eastAsia" w:ascii="仿宋_GB2312" w:eastAsia="仿宋_GB2312" w:cs="Arial Narrow"/>
                <w:sz w:val="21"/>
                <w:szCs w:val="21"/>
              </w:rPr>
              <w:t>3543</w:t>
            </w:r>
          </w:p>
        </w:tc>
        <w:tc>
          <w:tcPr>
            <w:tcW w:w="1984"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300" w:lineRule="exact"/>
              <w:jc w:val="center"/>
              <w:rPr>
                <w:rFonts w:ascii="仿宋_GB2312" w:eastAsia="仿宋_GB2312" w:cs="Arial Narrow"/>
                <w:sz w:val="21"/>
                <w:szCs w:val="21"/>
              </w:rPr>
            </w:pPr>
            <w:r>
              <w:rPr>
                <w:rFonts w:hint="eastAsia" w:ascii="仿宋_GB2312" w:eastAsia="仿宋_GB2312" w:cs="Arial Narrow"/>
                <w:sz w:val="21"/>
                <w:szCs w:val="21"/>
              </w:rPr>
              <w:t xml:space="preserve">41,222,453.36 </w:t>
            </w:r>
          </w:p>
        </w:tc>
        <w:tc>
          <w:tcPr>
            <w:tcW w:w="1978"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300" w:lineRule="exact"/>
              <w:jc w:val="center"/>
              <w:rPr>
                <w:rFonts w:ascii="仿宋_GB2312" w:eastAsia="仿宋_GB2312" w:cs="Arial Narrow"/>
                <w:sz w:val="21"/>
                <w:szCs w:val="21"/>
              </w:rPr>
            </w:pPr>
            <w:r>
              <w:rPr>
                <w:rFonts w:hint="eastAsia" w:ascii="仿宋_GB2312" w:eastAsia="仿宋_GB2312" w:cs="Arial Narrow"/>
                <w:sz w:val="21"/>
                <w:szCs w:val="21"/>
              </w:rPr>
              <w:t xml:space="preserve"> 18,619,495.10 </w:t>
            </w:r>
          </w:p>
        </w:tc>
        <w:tc>
          <w:tcPr>
            <w:tcW w:w="206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300" w:lineRule="exact"/>
              <w:jc w:val="center"/>
              <w:rPr>
                <w:rFonts w:ascii="仿宋_GB2312" w:eastAsia="仿宋_GB2312" w:cs="Arial Narrow"/>
                <w:sz w:val="21"/>
                <w:szCs w:val="21"/>
              </w:rPr>
            </w:pPr>
            <w:r>
              <w:rPr>
                <w:rFonts w:hint="eastAsia" w:ascii="仿宋_GB2312" w:eastAsia="仿宋_GB2312" w:cs="Arial Narrow"/>
                <w:sz w:val="21"/>
                <w:szCs w:val="21"/>
              </w:rPr>
              <w:t xml:space="preserve"> 4,973,361.05 </w:t>
            </w:r>
          </w:p>
        </w:tc>
      </w:tr>
      <w:tr>
        <w:tblPrEx>
          <w:tblCellMar>
            <w:top w:w="0" w:type="dxa"/>
            <w:left w:w="108" w:type="dxa"/>
            <w:bottom w:w="0" w:type="dxa"/>
            <w:right w:w="108" w:type="dxa"/>
          </w:tblCellMar>
        </w:tblPrEx>
        <w:trPr>
          <w:gridAfter w:val="1"/>
          <w:wAfter w:w="167" w:type="dxa"/>
          <w:trHeight w:val="109"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300" w:lineRule="exact"/>
              <w:jc w:val="center"/>
              <w:rPr>
                <w:rFonts w:ascii="仿宋_GB2312" w:eastAsia="仿宋_GB2312" w:cs="Arial Narrow"/>
                <w:sz w:val="21"/>
                <w:szCs w:val="21"/>
              </w:rPr>
            </w:pPr>
            <w:r>
              <w:rPr>
                <w:rFonts w:hint="eastAsia" w:ascii="仿宋_GB2312" w:eastAsia="仿宋_GB2312" w:cs="Arial Narrow"/>
                <w:sz w:val="21"/>
                <w:szCs w:val="21"/>
              </w:rPr>
              <w:t>7</w:t>
            </w:r>
          </w:p>
        </w:tc>
        <w:tc>
          <w:tcPr>
            <w:tcW w:w="1230"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300" w:lineRule="exact"/>
              <w:jc w:val="center"/>
              <w:rPr>
                <w:rFonts w:ascii="仿宋_GB2312" w:eastAsia="仿宋_GB2312" w:cs="Arial Narrow"/>
                <w:sz w:val="21"/>
                <w:szCs w:val="21"/>
              </w:rPr>
            </w:pPr>
            <w:r>
              <w:rPr>
                <w:rFonts w:hint="eastAsia" w:ascii="仿宋_GB2312" w:eastAsia="仿宋_GB2312" w:cs="Arial Narrow"/>
                <w:sz w:val="21"/>
                <w:szCs w:val="21"/>
              </w:rPr>
              <w:t>卢龙县</w:t>
            </w:r>
          </w:p>
        </w:tc>
        <w:tc>
          <w:tcPr>
            <w:tcW w:w="1257"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300" w:lineRule="exact"/>
              <w:jc w:val="center"/>
              <w:rPr>
                <w:rFonts w:ascii="仿宋_GB2312" w:eastAsia="仿宋_GB2312" w:cs="Arial Narrow"/>
                <w:sz w:val="21"/>
                <w:szCs w:val="21"/>
              </w:rPr>
            </w:pPr>
            <w:r>
              <w:rPr>
                <w:rFonts w:hint="eastAsia" w:ascii="仿宋_GB2312" w:eastAsia="仿宋_GB2312" w:cs="Arial Narrow"/>
                <w:sz w:val="21"/>
                <w:szCs w:val="21"/>
              </w:rPr>
              <w:t>15823</w:t>
            </w:r>
          </w:p>
        </w:tc>
        <w:tc>
          <w:tcPr>
            <w:tcW w:w="1984"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300" w:lineRule="exact"/>
              <w:jc w:val="center"/>
              <w:rPr>
                <w:rFonts w:ascii="仿宋_GB2312" w:eastAsia="仿宋_GB2312" w:cs="Arial Narrow"/>
                <w:sz w:val="21"/>
                <w:szCs w:val="21"/>
              </w:rPr>
            </w:pPr>
            <w:r>
              <w:rPr>
                <w:rFonts w:hint="eastAsia" w:ascii="仿宋_GB2312" w:eastAsia="仿宋_GB2312" w:cs="Arial Narrow"/>
                <w:sz w:val="21"/>
                <w:szCs w:val="21"/>
              </w:rPr>
              <w:t xml:space="preserve">135,925,748.21 </w:t>
            </w:r>
          </w:p>
        </w:tc>
        <w:tc>
          <w:tcPr>
            <w:tcW w:w="1978"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300" w:lineRule="exact"/>
              <w:jc w:val="center"/>
              <w:rPr>
                <w:rFonts w:ascii="仿宋_GB2312" w:eastAsia="仿宋_GB2312" w:cs="Arial Narrow"/>
                <w:sz w:val="21"/>
                <w:szCs w:val="21"/>
              </w:rPr>
            </w:pPr>
            <w:r>
              <w:rPr>
                <w:rFonts w:hint="eastAsia" w:ascii="仿宋_GB2312" w:eastAsia="仿宋_GB2312" w:cs="Arial Narrow"/>
                <w:sz w:val="21"/>
                <w:szCs w:val="21"/>
              </w:rPr>
              <w:t xml:space="preserve"> 58,669,007.95 </w:t>
            </w:r>
          </w:p>
        </w:tc>
        <w:tc>
          <w:tcPr>
            <w:tcW w:w="206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300" w:lineRule="exact"/>
              <w:jc w:val="center"/>
              <w:rPr>
                <w:rFonts w:ascii="仿宋_GB2312" w:eastAsia="仿宋_GB2312" w:cs="Arial Narrow"/>
                <w:sz w:val="21"/>
                <w:szCs w:val="21"/>
              </w:rPr>
            </w:pPr>
            <w:r>
              <w:rPr>
                <w:rFonts w:hint="eastAsia" w:ascii="仿宋_GB2312" w:eastAsia="仿宋_GB2312" w:cs="Arial Narrow"/>
                <w:sz w:val="21"/>
                <w:szCs w:val="21"/>
              </w:rPr>
              <w:t xml:space="preserve"> 17,427,309.24 </w:t>
            </w:r>
          </w:p>
        </w:tc>
      </w:tr>
      <w:tr>
        <w:tblPrEx>
          <w:tblCellMar>
            <w:top w:w="0" w:type="dxa"/>
            <w:left w:w="108" w:type="dxa"/>
            <w:bottom w:w="0" w:type="dxa"/>
            <w:right w:w="108" w:type="dxa"/>
          </w:tblCellMar>
        </w:tblPrEx>
        <w:trPr>
          <w:gridAfter w:val="1"/>
          <w:wAfter w:w="167" w:type="dxa"/>
          <w:trHeight w:val="112"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300" w:lineRule="exact"/>
              <w:jc w:val="center"/>
              <w:rPr>
                <w:rFonts w:ascii="仿宋_GB2312" w:eastAsia="仿宋_GB2312" w:cs="Arial Narrow"/>
                <w:sz w:val="21"/>
                <w:szCs w:val="21"/>
              </w:rPr>
            </w:pPr>
            <w:r>
              <w:rPr>
                <w:rFonts w:hint="eastAsia" w:ascii="仿宋_GB2312" w:eastAsia="仿宋_GB2312" w:cs="Arial Narrow"/>
                <w:sz w:val="21"/>
                <w:szCs w:val="21"/>
              </w:rPr>
              <w:t>8</w:t>
            </w:r>
          </w:p>
        </w:tc>
        <w:tc>
          <w:tcPr>
            <w:tcW w:w="1230"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300" w:lineRule="exact"/>
              <w:jc w:val="center"/>
              <w:rPr>
                <w:rFonts w:ascii="仿宋_GB2312" w:eastAsia="仿宋_GB2312" w:cs="Arial Narrow"/>
                <w:sz w:val="21"/>
                <w:szCs w:val="21"/>
              </w:rPr>
            </w:pPr>
            <w:r>
              <w:rPr>
                <w:rFonts w:hint="eastAsia" w:ascii="仿宋_GB2312" w:eastAsia="仿宋_GB2312" w:cs="Arial Narrow"/>
                <w:sz w:val="21"/>
                <w:szCs w:val="21"/>
              </w:rPr>
              <w:t>青龙县</w:t>
            </w:r>
          </w:p>
        </w:tc>
        <w:tc>
          <w:tcPr>
            <w:tcW w:w="1257"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300" w:lineRule="exact"/>
              <w:jc w:val="center"/>
              <w:rPr>
                <w:rFonts w:ascii="仿宋_GB2312" w:eastAsia="仿宋_GB2312" w:cs="Arial Narrow"/>
                <w:sz w:val="21"/>
                <w:szCs w:val="21"/>
              </w:rPr>
            </w:pPr>
            <w:r>
              <w:rPr>
                <w:rFonts w:hint="eastAsia" w:ascii="仿宋_GB2312" w:eastAsia="仿宋_GB2312" w:cs="Arial Narrow"/>
                <w:sz w:val="21"/>
                <w:szCs w:val="21"/>
              </w:rPr>
              <w:t>18457</w:t>
            </w:r>
          </w:p>
        </w:tc>
        <w:tc>
          <w:tcPr>
            <w:tcW w:w="1984"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300" w:lineRule="exact"/>
              <w:jc w:val="center"/>
              <w:rPr>
                <w:rFonts w:ascii="仿宋_GB2312" w:eastAsia="仿宋_GB2312" w:cs="Arial Narrow"/>
                <w:sz w:val="21"/>
                <w:szCs w:val="21"/>
              </w:rPr>
            </w:pPr>
            <w:r>
              <w:rPr>
                <w:rFonts w:hint="eastAsia" w:ascii="仿宋_GB2312" w:eastAsia="仿宋_GB2312" w:cs="Arial Narrow"/>
                <w:sz w:val="21"/>
                <w:szCs w:val="21"/>
              </w:rPr>
              <w:t xml:space="preserve">189,187,395.76 </w:t>
            </w:r>
          </w:p>
        </w:tc>
        <w:tc>
          <w:tcPr>
            <w:tcW w:w="1978"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300" w:lineRule="exact"/>
              <w:jc w:val="center"/>
              <w:rPr>
                <w:rFonts w:ascii="仿宋_GB2312" w:eastAsia="仿宋_GB2312" w:cs="Arial Narrow"/>
                <w:sz w:val="21"/>
                <w:szCs w:val="21"/>
              </w:rPr>
            </w:pPr>
            <w:r>
              <w:rPr>
                <w:rFonts w:hint="eastAsia" w:ascii="仿宋_GB2312" w:eastAsia="仿宋_GB2312" w:cs="Arial Narrow"/>
                <w:sz w:val="21"/>
                <w:szCs w:val="21"/>
              </w:rPr>
              <w:t xml:space="preserve"> 84,483,883.90 </w:t>
            </w:r>
          </w:p>
        </w:tc>
        <w:tc>
          <w:tcPr>
            <w:tcW w:w="206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300" w:lineRule="exact"/>
              <w:jc w:val="center"/>
              <w:rPr>
                <w:rFonts w:ascii="仿宋_GB2312" w:eastAsia="仿宋_GB2312" w:cs="Arial Narrow"/>
                <w:sz w:val="21"/>
                <w:szCs w:val="21"/>
              </w:rPr>
            </w:pPr>
            <w:r>
              <w:rPr>
                <w:rFonts w:hint="eastAsia" w:ascii="仿宋_GB2312" w:eastAsia="仿宋_GB2312" w:cs="Arial Narrow"/>
                <w:sz w:val="21"/>
                <w:szCs w:val="21"/>
              </w:rPr>
              <w:t xml:space="preserve"> 22,433,135.44 </w:t>
            </w:r>
          </w:p>
        </w:tc>
      </w:tr>
      <w:tr>
        <w:tblPrEx>
          <w:tblCellMar>
            <w:top w:w="0" w:type="dxa"/>
            <w:left w:w="108" w:type="dxa"/>
            <w:bottom w:w="0" w:type="dxa"/>
            <w:right w:w="108" w:type="dxa"/>
          </w:tblCellMar>
        </w:tblPrEx>
        <w:trPr>
          <w:gridAfter w:val="1"/>
          <w:wAfter w:w="167" w:type="dxa"/>
          <w:trHeight w:val="109"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300" w:lineRule="exact"/>
              <w:jc w:val="center"/>
              <w:rPr>
                <w:rFonts w:ascii="仿宋_GB2312" w:eastAsia="仿宋_GB2312" w:cs="Arial Narrow"/>
                <w:sz w:val="21"/>
                <w:szCs w:val="21"/>
              </w:rPr>
            </w:pPr>
            <w:r>
              <w:rPr>
                <w:rFonts w:hint="eastAsia" w:ascii="仿宋_GB2312" w:eastAsia="仿宋_GB2312" w:cs="Arial Narrow"/>
                <w:sz w:val="21"/>
                <w:szCs w:val="21"/>
              </w:rPr>
              <w:t>9</w:t>
            </w:r>
          </w:p>
        </w:tc>
        <w:tc>
          <w:tcPr>
            <w:tcW w:w="1230"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300" w:lineRule="exact"/>
              <w:jc w:val="center"/>
              <w:rPr>
                <w:rFonts w:ascii="仿宋_GB2312" w:eastAsia="仿宋_GB2312" w:cs="Arial Narrow"/>
                <w:sz w:val="21"/>
                <w:szCs w:val="21"/>
              </w:rPr>
            </w:pPr>
            <w:r>
              <w:rPr>
                <w:rFonts w:hint="eastAsia" w:ascii="仿宋_GB2312" w:eastAsia="仿宋_GB2312" w:cs="Arial Narrow"/>
                <w:sz w:val="21"/>
                <w:szCs w:val="21"/>
              </w:rPr>
              <w:t>山海关</w:t>
            </w:r>
          </w:p>
        </w:tc>
        <w:tc>
          <w:tcPr>
            <w:tcW w:w="1257"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300" w:lineRule="exact"/>
              <w:jc w:val="center"/>
              <w:rPr>
                <w:rFonts w:ascii="仿宋_GB2312" w:eastAsia="仿宋_GB2312" w:cs="Arial Narrow"/>
                <w:sz w:val="21"/>
                <w:szCs w:val="21"/>
              </w:rPr>
            </w:pPr>
            <w:r>
              <w:rPr>
                <w:rFonts w:hint="eastAsia" w:ascii="仿宋_GB2312" w:eastAsia="仿宋_GB2312" w:cs="Arial Narrow"/>
                <w:sz w:val="21"/>
                <w:szCs w:val="21"/>
              </w:rPr>
              <w:t>4435</w:t>
            </w:r>
          </w:p>
        </w:tc>
        <w:tc>
          <w:tcPr>
            <w:tcW w:w="1984"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300" w:lineRule="exact"/>
              <w:jc w:val="center"/>
              <w:rPr>
                <w:rFonts w:ascii="仿宋_GB2312" w:eastAsia="仿宋_GB2312" w:cs="Arial Narrow"/>
                <w:sz w:val="21"/>
                <w:szCs w:val="21"/>
              </w:rPr>
            </w:pPr>
            <w:r>
              <w:rPr>
                <w:rFonts w:hint="eastAsia" w:ascii="仿宋_GB2312" w:eastAsia="仿宋_GB2312" w:cs="Arial Narrow"/>
                <w:sz w:val="21"/>
                <w:szCs w:val="21"/>
              </w:rPr>
              <w:t xml:space="preserve"> 39,953,195.27 </w:t>
            </w:r>
          </w:p>
        </w:tc>
        <w:tc>
          <w:tcPr>
            <w:tcW w:w="1978"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300" w:lineRule="exact"/>
              <w:jc w:val="center"/>
              <w:rPr>
                <w:rFonts w:ascii="仿宋_GB2312" w:eastAsia="仿宋_GB2312" w:cs="Arial Narrow"/>
                <w:sz w:val="21"/>
                <w:szCs w:val="21"/>
              </w:rPr>
            </w:pPr>
            <w:r>
              <w:rPr>
                <w:rFonts w:hint="eastAsia" w:ascii="仿宋_GB2312" w:eastAsia="仿宋_GB2312" w:cs="Arial Narrow"/>
                <w:sz w:val="21"/>
                <w:szCs w:val="21"/>
              </w:rPr>
              <w:t xml:space="preserve"> 18,046,292.61 </w:t>
            </w:r>
          </w:p>
        </w:tc>
        <w:tc>
          <w:tcPr>
            <w:tcW w:w="206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300" w:lineRule="exact"/>
              <w:jc w:val="center"/>
              <w:rPr>
                <w:rFonts w:ascii="仿宋_GB2312" w:eastAsia="仿宋_GB2312" w:cs="Arial Narrow"/>
                <w:sz w:val="21"/>
                <w:szCs w:val="21"/>
              </w:rPr>
            </w:pPr>
            <w:r>
              <w:rPr>
                <w:rFonts w:hint="eastAsia" w:ascii="仿宋_GB2312" w:eastAsia="仿宋_GB2312" w:cs="Arial Narrow"/>
                <w:sz w:val="21"/>
                <w:szCs w:val="21"/>
              </w:rPr>
              <w:t xml:space="preserve"> 5,223,213.71 </w:t>
            </w:r>
          </w:p>
        </w:tc>
      </w:tr>
      <w:tr>
        <w:tblPrEx>
          <w:tblCellMar>
            <w:top w:w="0" w:type="dxa"/>
            <w:left w:w="108" w:type="dxa"/>
            <w:bottom w:w="0" w:type="dxa"/>
            <w:right w:w="108" w:type="dxa"/>
          </w:tblCellMar>
        </w:tblPrEx>
        <w:trPr>
          <w:gridAfter w:val="1"/>
          <w:wAfter w:w="167" w:type="dxa"/>
          <w:trHeight w:val="112" w:hRule="atLeast"/>
        </w:trPr>
        <w:tc>
          <w:tcPr>
            <w:tcW w:w="1939"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300" w:lineRule="exact"/>
              <w:jc w:val="center"/>
              <w:rPr>
                <w:rFonts w:ascii="仿宋_GB2312" w:eastAsia="仿宋_GB2312" w:cs="Arial Narrow"/>
                <w:sz w:val="21"/>
                <w:szCs w:val="21"/>
              </w:rPr>
            </w:pPr>
            <w:r>
              <w:rPr>
                <w:rFonts w:hint="eastAsia" w:ascii="仿宋_GB2312" w:eastAsia="仿宋_GB2312" w:cs="Arial Narrow"/>
                <w:sz w:val="21"/>
                <w:szCs w:val="21"/>
              </w:rPr>
              <w:t>合  计</w:t>
            </w:r>
          </w:p>
        </w:tc>
        <w:tc>
          <w:tcPr>
            <w:tcW w:w="1257"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300" w:lineRule="exact"/>
              <w:jc w:val="center"/>
              <w:rPr>
                <w:rFonts w:ascii="仿宋_GB2312" w:eastAsia="仿宋_GB2312" w:cs="Arial Narrow"/>
                <w:b/>
                <w:bCs/>
                <w:sz w:val="21"/>
                <w:szCs w:val="21"/>
              </w:rPr>
            </w:pPr>
            <w:r>
              <w:rPr>
                <w:rFonts w:hint="eastAsia" w:ascii="仿宋_GB2312" w:eastAsia="仿宋_GB2312" w:cs="Arial Narrow"/>
                <w:b/>
                <w:bCs/>
                <w:sz w:val="21"/>
                <w:szCs w:val="21"/>
              </w:rPr>
              <w:fldChar w:fldCharType="begin"/>
            </w:r>
            <w:r>
              <w:rPr>
                <w:rFonts w:hint="eastAsia" w:ascii="仿宋_GB2312" w:eastAsia="仿宋_GB2312" w:cs="Arial Narrow"/>
                <w:b/>
                <w:bCs/>
                <w:sz w:val="21"/>
                <w:szCs w:val="21"/>
              </w:rPr>
              <w:instrText xml:space="preserve"> =SUM(ABOVE) </w:instrText>
            </w:r>
            <w:r>
              <w:rPr>
                <w:rFonts w:hint="eastAsia" w:ascii="仿宋_GB2312" w:eastAsia="仿宋_GB2312" w:cs="Arial Narrow"/>
                <w:b/>
                <w:bCs/>
                <w:sz w:val="21"/>
                <w:szCs w:val="21"/>
              </w:rPr>
              <w:fldChar w:fldCharType="separate"/>
            </w:r>
            <w:r>
              <w:rPr>
                <w:rFonts w:hint="eastAsia" w:ascii="仿宋_GB2312" w:eastAsia="仿宋_GB2312" w:cs="Arial Narrow"/>
                <w:b/>
                <w:bCs/>
                <w:sz w:val="21"/>
                <w:szCs w:val="21"/>
              </w:rPr>
              <w:t>108615</w:t>
            </w:r>
            <w:r>
              <w:rPr>
                <w:rFonts w:hint="eastAsia" w:ascii="仿宋_GB2312" w:eastAsia="仿宋_GB2312" w:cs="Arial Narrow"/>
                <w:b/>
                <w:bCs/>
                <w:sz w:val="21"/>
                <w:szCs w:val="21"/>
              </w:rPr>
              <w:fldChar w:fldCharType="end"/>
            </w:r>
          </w:p>
        </w:tc>
        <w:tc>
          <w:tcPr>
            <w:tcW w:w="1984"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300" w:lineRule="exact"/>
              <w:jc w:val="center"/>
              <w:rPr>
                <w:rFonts w:ascii="仿宋_GB2312" w:eastAsia="仿宋_GB2312" w:cs="Arial Narrow"/>
                <w:b/>
                <w:bCs/>
                <w:sz w:val="21"/>
                <w:szCs w:val="21"/>
              </w:rPr>
            </w:pPr>
            <w:r>
              <w:rPr>
                <w:rFonts w:hint="eastAsia" w:ascii="仿宋_GB2312" w:eastAsia="仿宋_GB2312" w:cs="Arial Narrow"/>
                <w:b/>
                <w:bCs/>
                <w:sz w:val="21"/>
                <w:szCs w:val="21"/>
              </w:rPr>
              <w:fldChar w:fldCharType="begin"/>
            </w:r>
            <w:r>
              <w:rPr>
                <w:rFonts w:hint="eastAsia" w:ascii="仿宋_GB2312" w:eastAsia="仿宋_GB2312" w:cs="Arial Narrow"/>
                <w:b/>
                <w:bCs/>
                <w:sz w:val="21"/>
                <w:szCs w:val="21"/>
              </w:rPr>
              <w:instrText xml:space="preserve"> =SUM(ABOVE) </w:instrText>
            </w:r>
            <w:r>
              <w:rPr>
                <w:rFonts w:hint="eastAsia" w:ascii="仿宋_GB2312" w:eastAsia="仿宋_GB2312" w:cs="Arial Narrow"/>
                <w:b/>
                <w:bCs/>
                <w:sz w:val="21"/>
                <w:szCs w:val="21"/>
              </w:rPr>
              <w:fldChar w:fldCharType="separate"/>
            </w:r>
            <w:r>
              <w:rPr>
                <w:rFonts w:hint="eastAsia" w:ascii="仿宋_GB2312" w:eastAsia="仿宋_GB2312" w:cs="Arial Narrow"/>
                <w:b/>
                <w:bCs/>
                <w:sz w:val="21"/>
                <w:szCs w:val="21"/>
              </w:rPr>
              <w:t>978,135,784.68</w:t>
            </w:r>
            <w:r>
              <w:rPr>
                <w:rFonts w:hint="eastAsia" w:ascii="仿宋_GB2312" w:eastAsia="仿宋_GB2312" w:cs="Arial Narrow"/>
                <w:b/>
                <w:bCs/>
                <w:sz w:val="21"/>
                <w:szCs w:val="21"/>
              </w:rPr>
              <w:fldChar w:fldCharType="end"/>
            </w:r>
          </w:p>
        </w:tc>
        <w:tc>
          <w:tcPr>
            <w:tcW w:w="1978"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300" w:lineRule="exact"/>
              <w:jc w:val="center"/>
              <w:rPr>
                <w:rFonts w:ascii="仿宋_GB2312" w:eastAsia="仿宋_GB2312" w:cs="Arial Narrow"/>
                <w:b/>
                <w:bCs/>
                <w:sz w:val="21"/>
                <w:szCs w:val="21"/>
              </w:rPr>
            </w:pPr>
            <w:r>
              <w:rPr>
                <w:rFonts w:hint="eastAsia" w:ascii="仿宋_GB2312" w:eastAsia="仿宋_GB2312" w:cs="Arial Narrow"/>
                <w:b/>
                <w:bCs/>
                <w:sz w:val="21"/>
                <w:szCs w:val="21"/>
              </w:rPr>
              <w:fldChar w:fldCharType="begin"/>
            </w:r>
            <w:r>
              <w:rPr>
                <w:rFonts w:hint="eastAsia" w:ascii="仿宋_GB2312" w:eastAsia="仿宋_GB2312" w:cs="Arial Narrow"/>
                <w:b/>
                <w:bCs/>
                <w:sz w:val="21"/>
                <w:szCs w:val="21"/>
              </w:rPr>
              <w:instrText xml:space="preserve"> =SUM(ABOVE) </w:instrText>
            </w:r>
            <w:r>
              <w:rPr>
                <w:rFonts w:hint="eastAsia" w:ascii="仿宋_GB2312" w:eastAsia="仿宋_GB2312" w:cs="Arial Narrow"/>
                <w:b/>
                <w:bCs/>
                <w:sz w:val="21"/>
                <w:szCs w:val="21"/>
              </w:rPr>
              <w:fldChar w:fldCharType="separate"/>
            </w:r>
            <w:r>
              <w:rPr>
                <w:rFonts w:hint="eastAsia" w:ascii="仿宋_GB2312" w:eastAsia="仿宋_GB2312" w:cs="Arial Narrow"/>
                <w:b/>
                <w:bCs/>
                <w:sz w:val="21"/>
                <w:szCs w:val="21"/>
              </w:rPr>
              <w:t>428,884,476.2</w:t>
            </w:r>
            <w:r>
              <w:rPr>
                <w:rFonts w:hint="eastAsia" w:ascii="仿宋_GB2312" w:eastAsia="仿宋_GB2312" w:cs="Arial Narrow"/>
                <w:b/>
                <w:bCs/>
                <w:sz w:val="21"/>
                <w:szCs w:val="21"/>
              </w:rPr>
              <w:fldChar w:fldCharType="end"/>
            </w:r>
            <w:r>
              <w:rPr>
                <w:rFonts w:hint="eastAsia" w:ascii="仿宋_GB2312" w:eastAsia="仿宋_GB2312" w:cs="Arial Narrow"/>
                <w:b/>
                <w:bCs/>
                <w:sz w:val="21"/>
                <w:szCs w:val="21"/>
              </w:rPr>
              <w:t>0</w:t>
            </w:r>
          </w:p>
        </w:tc>
        <w:tc>
          <w:tcPr>
            <w:tcW w:w="206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300" w:lineRule="exact"/>
              <w:jc w:val="center"/>
              <w:rPr>
                <w:rFonts w:ascii="仿宋_GB2312" w:eastAsia="仿宋_GB2312" w:cs="Arial Narrow"/>
                <w:b/>
                <w:bCs/>
                <w:sz w:val="21"/>
                <w:szCs w:val="21"/>
              </w:rPr>
            </w:pPr>
            <w:r>
              <w:rPr>
                <w:rFonts w:hint="eastAsia" w:ascii="仿宋_GB2312" w:eastAsia="仿宋_GB2312" w:cs="Arial Narrow"/>
                <w:b/>
                <w:bCs/>
                <w:sz w:val="21"/>
                <w:szCs w:val="21"/>
              </w:rPr>
              <w:fldChar w:fldCharType="begin"/>
            </w:r>
            <w:r>
              <w:rPr>
                <w:rFonts w:hint="eastAsia" w:ascii="仿宋_GB2312" w:eastAsia="仿宋_GB2312" w:cs="Arial Narrow"/>
                <w:b/>
                <w:bCs/>
                <w:sz w:val="21"/>
                <w:szCs w:val="21"/>
              </w:rPr>
              <w:instrText xml:space="preserve"> =SUM(ABOVE) </w:instrText>
            </w:r>
            <w:r>
              <w:rPr>
                <w:rFonts w:hint="eastAsia" w:ascii="仿宋_GB2312" w:eastAsia="仿宋_GB2312" w:cs="Arial Narrow"/>
                <w:b/>
                <w:bCs/>
                <w:sz w:val="21"/>
                <w:szCs w:val="21"/>
              </w:rPr>
              <w:fldChar w:fldCharType="separate"/>
            </w:r>
            <w:r>
              <w:rPr>
                <w:rFonts w:hint="eastAsia" w:ascii="仿宋_GB2312" w:eastAsia="仿宋_GB2312" w:cs="Arial Narrow"/>
                <w:b/>
                <w:bCs/>
                <w:sz w:val="21"/>
                <w:szCs w:val="21"/>
              </w:rPr>
              <w:t>122,332,991.42</w:t>
            </w:r>
            <w:r>
              <w:rPr>
                <w:rFonts w:hint="eastAsia" w:ascii="仿宋_GB2312" w:eastAsia="仿宋_GB2312" w:cs="Arial Narrow"/>
                <w:b/>
                <w:bCs/>
                <w:sz w:val="21"/>
                <w:szCs w:val="21"/>
              </w:rPr>
              <w:fldChar w:fldCharType="end"/>
            </w:r>
          </w:p>
        </w:tc>
      </w:tr>
      <w:tr>
        <w:tblPrEx>
          <w:tblCellMar>
            <w:top w:w="0" w:type="dxa"/>
            <w:left w:w="108" w:type="dxa"/>
            <w:bottom w:w="0" w:type="dxa"/>
            <w:right w:w="108" w:type="dxa"/>
          </w:tblCellMar>
        </w:tblPrEx>
        <w:trPr>
          <w:trHeight w:val="442" w:hRule="atLeast"/>
        </w:trPr>
        <w:tc>
          <w:tcPr>
            <w:tcW w:w="9391" w:type="dxa"/>
            <w:gridSpan w:val="9"/>
            <w:tcBorders>
              <w:bottom w:val="single" w:color="auto" w:sz="4" w:space="0"/>
            </w:tcBorders>
            <w:shd w:val="clear" w:color="auto" w:fill="auto"/>
            <w:vAlign w:val="center"/>
          </w:tcPr>
          <w:p>
            <w:pPr>
              <w:spacing w:line="300" w:lineRule="exact"/>
              <w:jc w:val="center"/>
              <w:rPr>
                <w:rFonts w:ascii="仿宋_GB2312" w:eastAsia="仿宋_GB2312" w:cs="Arial Narrow"/>
                <w:b/>
                <w:sz w:val="24"/>
              </w:rPr>
            </w:pPr>
            <w:r>
              <w:rPr>
                <w:rFonts w:hint="eastAsia" w:ascii="仿宋_GB2312" w:eastAsia="仿宋_GB2312" w:cs="Arial Narrow"/>
                <w:b/>
                <w:sz w:val="24"/>
              </w:rPr>
              <w:t>2021年度城乡居民大病保险补偿情况表</w:t>
            </w:r>
          </w:p>
          <w:p>
            <w:pPr>
              <w:spacing w:line="300" w:lineRule="exact"/>
              <w:jc w:val="right"/>
              <w:rPr>
                <w:rFonts w:ascii="Arial Narrow" w:hAnsi="Arial Narrow" w:eastAsia="楷体" w:cs="Arial Narrow"/>
                <w:sz w:val="24"/>
              </w:rPr>
            </w:pPr>
            <w:r>
              <w:rPr>
                <w:rFonts w:ascii="Arial Narrow" w:hAnsi="Arial Narrow" w:eastAsia="楷体" w:cs="Arial Narrow"/>
                <w:sz w:val="24"/>
              </w:rPr>
              <w:t>单位：元</w:t>
            </w:r>
          </w:p>
        </w:tc>
      </w:tr>
      <w:tr>
        <w:tblPrEx>
          <w:tblCellMar>
            <w:top w:w="0" w:type="dxa"/>
            <w:left w:w="108" w:type="dxa"/>
            <w:bottom w:w="0" w:type="dxa"/>
            <w:right w:w="108" w:type="dxa"/>
          </w:tblCellMar>
        </w:tblPrEx>
        <w:trPr>
          <w:trHeight w:val="109" w:hRule="atLeast"/>
        </w:trPr>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exact"/>
              <w:jc w:val="center"/>
              <w:rPr>
                <w:rFonts w:ascii="仿宋_GB2312" w:eastAsia="仿宋_GB2312" w:cs="Arial Narrow"/>
                <w:b/>
                <w:bCs/>
                <w:sz w:val="21"/>
                <w:szCs w:val="21"/>
              </w:rPr>
            </w:pPr>
            <w:r>
              <w:rPr>
                <w:rFonts w:hint="eastAsia" w:ascii="仿宋_GB2312" w:eastAsia="仿宋_GB2312" w:cs="Arial Narrow"/>
                <w:b/>
                <w:bCs/>
                <w:sz w:val="21"/>
                <w:szCs w:val="21"/>
              </w:rPr>
              <w:t>序号</w:t>
            </w:r>
          </w:p>
        </w:tc>
        <w:tc>
          <w:tcPr>
            <w:tcW w:w="123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exact"/>
              <w:jc w:val="center"/>
              <w:rPr>
                <w:rFonts w:ascii="仿宋_GB2312" w:eastAsia="仿宋_GB2312" w:cs="Arial Narrow"/>
                <w:b/>
                <w:bCs/>
                <w:sz w:val="21"/>
                <w:szCs w:val="21"/>
              </w:rPr>
            </w:pPr>
            <w:r>
              <w:rPr>
                <w:rFonts w:hint="eastAsia" w:ascii="仿宋_GB2312" w:eastAsia="仿宋_GB2312" w:cs="Arial Narrow"/>
                <w:b/>
                <w:bCs/>
                <w:sz w:val="21"/>
                <w:szCs w:val="21"/>
              </w:rPr>
              <w:t>县  区</w:t>
            </w:r>
          </w:p>
        </w:tc>
        <w:tc>
          <w:tcPr>
            <w:tcW w:w="125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exact"/>
              <w:jc w:val="center"/>
              <w:rPr>
                <w:rFonts w:ascii="仿宋_GB2312" w:eastAsia="仿宋_GB2312" w:cs="Arial Narrow"/>
                <w:b/>
                <w:bCs/>
                <w:sz w:val="21"/>
                <w:szCs w:val="21"/>
              </w:rPr>
            </w:pPr>
            <w:r>
              <w:rPr>
                <w:rFonts w:hint="eastAsia" w:ascii="仿宋_GB2312" w:eastAsia="仿宋_GB2312" w:cs="Arial Narrow"/>
                <w:b/>
                <w:bCs/>
                <w:sz w:val="21"/>
                <w:szCs w:val="21"/>
              </w:rPr>
              <w:t>补偿人次</w:t>
            </w:r>
          </w:p>
        </w:tc>
        <w:tc>
          <w:tcPr>
            <w:tcW w:w="215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exact"/>
              <w:jc w:val="center"/>
              <w:rPr>
                <w:rFonts w:ascii="仿宋_GB2312" w:eastAsia="仿宋_GB2312" w:cs="Arial Narrow"/>
                <w:b/>
                <w:bCs/>
                <w:sz w:val="21"/>
                <w:szCs w:val="21"/>
              </w:rPr>
            </w:pPr>
            <w:r>
              <w:rPr>
                <w:rFonts w:hint="eastAsia" w:ascii="仿宋_GB2312" w:eastAsia="仿宋_GB2312" w:cs="Arial Narrow"/>
                <w:b/>
                <w:bCs/>
                <w:sz w:val="21"/>
                <w:szCs w:val="21"/>
              </w:rPr>
              <w:t>医疗费总额</w:t>
            </w:r>
          </w:p>
        </w:tc>
        <w:tc>
          <w:tcPr>
            <w:tcW w:w="197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exact"/>
              <w:jc w:val="center"/>
              <w:rPr>
                <w:rFonts w:ascii="仿宋_GB2312" w:eastAsia="仿宋_GB2312" w:cs="Arial Narrow"/>
                <w:b/>
                <w:bCs/>
                <w:sz w:val="21"/>
                <w:szCs w:val="21"/>
              </w:rPr>
            </w:pPr>
            <w:r>
              <w:rPr>
                <w:rFonts w:hint="eastAsia" w:ascii="仿宋_GB2312" w:eastAsia="仿宋_GB2312" w:cs="Arial Narrow"/>
                <w:b/>
                <w:bCs/>
                <w:sz w:val="21"/>
                <w:szCs w:val="21"/>
              </w:rPr>
              <w:t>统筹支付金额</w:t>
            </w:r>
          </w:p>
        </w:tc>
        <w:tc>
          <w:tcPr>
            <w:tcW w:w="2066"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exact"/>
              <w:jc w:val="center"/>
              <w:rPr>
                <w:rFonts w:ascii="仿宋_GB2312" w:eastAsia="仿宋_GB2312" w:cs="Arial Narrow"/>
                <w:b/>
                <w:bCs/>
                <w:sz w:val="21"/>
                <w:szCs w:val="21"/>
              </w:rPr>
            </w:pPr>
            <w:r>
              <w:rPr>
                <w:rFonts w:hint="eastAsia" w:ascii="仿宋_GB2312" w:eastAsia="仿宋_GB2312" w:cs="Arial Narrow"/>
                <w:b/>
                <w:bCs/>
                <w:sz w:val="21"/>
                <w:szCs w:val="21"/>
              </w:rPr>
              <w:t>大病统筹支付</w:t>
            </w:r>
          </w:p>
        </w:tc>
      </w:tr>
      <w:tr>
        <w:tblPrEx>
          <w:tblCellMar>
            <w:top w:w="0" w:type="dxa"/>
            <w:left w:w="108" w:type="dxa"/>
            <w:bottom w:w="0" w:type="dxa"/>
            <w:right w:w="108" w:type="dxa"/>
          </w:tblCellMar>
        </w:tblPrEx>
        <w:trPr>
          <w:trHeight w:val="109" w:hRule="atLeast"/>
        </w:trPr>
        <w:tc>
          <w:tcPr>
            <w:tcW w:w="709"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spacing w:line="300" w:lineRule="exact"/>
              <w:jc w:val="center"/>
              <w:rPr>
                <w:rFonts w:ascii="仿宋_GB2312" w:eastAsia="仿宋_GB2312" w:cs="Arial Narrow"/>
                <w:sz w:val="21"/>
                <w:szCs w:val="21"/>
              </w:rPr>
            </w:pPr>
            <w:r>
              <w:rPr>
                <w:rFonts w:hint="eastAsia" w:ascii="仿宋_GB2312" w:eastAsia="仿宋_GB2312" w:cs="Arial Narrow"/>
                <w:sz w:val="21"/>
                <w:szCs w:val="21"/>
              </w:rPr>
              <w:t>1</w:t>
            </w:r>
          </w:p>
        </w:tc>
        <w:tc>
          <w:tcPr>
            <w:tcW w:w="123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spacing w:line="300" w:lineRule="exact"/>
              <w:jc w:val="center"/>
              <w:rPr>
                <w:rFonts w:ascii="仿宋_GB2312" w:eastAsia="仿宋_GB2312" w:cs="Arial Narrow"/>
                <w:sz w:val="21"/>
                <w:szCs w:val="21"/>
              </w:rPr>
            </w:pPr>
            <w:r>
              <w:rPr>
                <w:rFonts w:hint="eastAsia" w:ascii="仿宋_GB2312" w:eastAsia="仿宋_GB2312" w:cs="Arial Narrow"/>
                <w:sz w:val="21"/>
                <w:szCs w:val="21"/>
              </w:rPr>
              <w:t>北戴河</w:t>
            </w:r>
          </w:p>
        </w:tc>
        <w:tc>
          <w:tcPr>
            <w:tcW w:w="1257"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300" w:lineRule="exact"/>
              <w:jc w:val="center"/>
              <w:rPr>
                <w:rFonts w:ascii="仿宋_GB2312" w:eastAsia="仿宋_GB2312" w:cs="Arial Narrow"/>
                <w:sz w:val="21"/>
                <w:szCs w:val="21"/>
              </w:rPr>
            </w:pPr>
            <w:r>
              <w:rPr>
                <w:rFonts w:hint="eastAsia" w:ascii="仿宋_GB2312" w:eastAsia="仿宋_GB2312" w:cs="Arial Narrow"/>
                <w:sz w:val="21"/>
                <w:szCs w:val="21"/>
              </w:rPr>
              <w:t>2820</w:t>
            </w:r>
          </w:p>
        </w:tc>
        <w:tc>
          <w:tcPr>
            <w:tcW w:w="2151"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300" w:lineRule="exact"/>
              <w:jc w:val="center"/>
              <w:rPr>
                <w:rFonts w:ascii="仿宋_GB2312" w:eastAsia="仿宋_GB2312" w:cs="Arial Narrow"/>
                <w:sz w:val="21"/>
                <w:szCs w:val="21"/>
              </w:rPr>
            </w:pPr>
            <w:r>
              <w:rPr>
                <w:rFonts w:hint="eastAsia" w:ascii="仿宋_GB2312" w:eastAsia="仿宋_GB2312" w:cs="Arial Narrow"/>
                <w:sz w:val="21"/>
                <w:szCs w:val="21"/>
              </w:rPr>
              <w:t>13,456,028.69</w:t>
            </w:r>
          </w:p>
        </w:tc>
        <w:tc>
          <w:tcPr>
            <w:tcW w:w="1978"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300" w:lineRule="exact"/>
              <w:jc w:val="center"/>
              <w:rPr>
                <w:rFonts w:ascii="仿宋_GB2312" w:eastAsia="仿宋_GB2312" w:cs="Arial Narrow"/>
                <w:sz w:val="21"/>
                <w:szCs w:val="21"/>
              </w:rPr>
            </w:pPr>
            <w:r>
              <w:rPr>
                <w:rFonts w:hint="eastAsia" w:ascii="仿宋_GB2312" w:eastAsia="仿宋_GB2312" w:cs="Arial Narrow"/>
                <w:sz w:val="21"/>
                <w:szCs w:val="21"/>
              </w:rPr>
              <w:t>7,443,285.39</w:t>
            </w:r>
          </w:p>
        </w:tc>
        <w:tc>
          <w:tcPr>
            <w:tcW w:w="206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300" w:lineRule="exact"/>
              <w:jc w:val="center"/>
              <w:rPr>
                <w:rFonts w:ascii="仿宋_GB2312" w:eastAsia="仿宋_GB2312" w:cs="Arial Narrow"/>
                <w:sz w:val="21"/>
                <w:szCs w:val="21"/>
              </w:rPr>
            </w:pPr>
            <w:r>
              <w:rPr>
                <w:rFonts w:hint="eastAsia" w:ascii="仿宋_GB2312" w:eastAsia="仿宋_GB2312" w:cs="Arial Narrow"/>
                <w:sz w:val="21"/>
                <w:szCs w:val="21"/>
              </w:rPr>
              <w:t>1,421,531.33</w:t>
            </w:r>
          </w:p>
        </w:tc>
      </w:tr>
      <w:tr>
        <w:tblPrEx>
          <w:tblCellMar>
            <w:top w:w="0" w:type="dxa"/>
            <w:left w:w="108" w:type="dxa"/>
            <w:bottom w:w="0" w:type="dxa"/>
            <w:right w:w="108" w:type="dxa"/>
          </w:tblCellMar>
        </w:tblPrEx>
        <w:trPr>
          <w:trHeight w:val="109" w:hRule="atLeast"/>
        </w:trPr>
        <w:tc>
          <w:tcPr>
            <w:tcW w:w="709"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spacing w:line="300" w:lineRule="exact"/>
              <w:jc w:val="center"/>
              <w:rPr>
                <w:rFonts w:ascii="仿宋_GB2312" w:eastAsia="仿宋_GB2312" w:cs="Arial Narrow"/>
                <w:sz w:val="21"/>
                <w:szCs w:val="21"/>
              </w:rPr>
            </w:pPr>
            <w:r>
              <w:rPr>
                <w:rFonts w:hint="eastAsia" w:ascii="仿宋_GB2312" w:eastAsia="仿宋_GB2312" w:cs="Arial Narrow"/>
                <w:sz w:val="21"/>
                <w:szCs w:val="21"/>
              </w:rPr>
              <w:t>2</w:t>
            </w:r>
          </w:p>
        </w:tc>
        <w:tc>
          <w:tcPr>
            <w:tcW w:w="123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spacing w:line="300" w:lineRule="exact"/>
              <w:jc w:val="center"/>
              <w:rPr>
                <w:rFonts w:ascii="仿宋_GB2312" w:eastAsia="仿宋_GB2312" w:cs="Arial Narrow"/>
                <w:sz w:val="21"/>
                <w:szCs w:val="21"/>
              </w:rPr>
            </w:pPr>
            <w:r>
              <w:rPr>
                <w:rFonts w:hint="eastAsia" w:ascii="仿宋_GB2312" w:eastAsia="仿宋_GB2312" w:cs="Arial Narrow"/>
                <w:sz w:val="21"/>
                <w:szCs w:val="21"/>
              </w:rPr>
              <w:t>北新区</w:t>
            </w:r>
          </w:p>
        </w:tc>
        <w:tc>
          <w:tcPr>
            <w:tcW w:w="1257"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300" w:lineRule="exact"/>
              <w:jc w:val="center"/>
              <w:rPr>
                <w:rFonts w:ascii="仿宋_GB2312" w:eastAsia="仿宋_GB2312" w:cs="Arial Narrow"/>
                <w:sz w:val="21"/>
                <w:szCs w:val="21"/>
              </w:rPr>
            </w:pPr>
            <w:r>
              <w:rPr>
                <w:rFonts w:hint="eastAsia" w:ascii="仿宋_GB2312" w:eastAsia="仿宋_GB2312" w:cs="Arial Narrow"/>
                <w:sz w:val="21"/>
                <w:szCs w:val="21"/>
              </w:rPr>
              <w:t>143</w:t>
            </w:r>
          </w:p>
        </w:tc>
        <w:tc>
          <w:tcPr>
            <w:tcW w:w="2151"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300" w:lineRule="exact"/>
              <w:jc w:val="center"/>
              <w:rPr>
                <w:rFonts w:ascii="仿宋_GB2312" w:eastAsia="仿宋_GB2312" w:cs="Arial Narrow"/>
                <w:sz w:val="21"/>
                <w:szCs w:val="21"/>
              </w:rPr>
            </w:pPr>
            <w:r>
              <w:rPr>
                <w:rFonts w:hint="eastAsia" w:ascii="仿宋_GB2312" w:eastAsia="仿宋_GB2312" w:cs="Arial Narrow"/>
                <w:sz w:val="21"/>
                <w:szCs w:val="21"/>
              </w:rPr>
              <w:t>4,201,186.03</w:t>
            </w:r>
          </w:p>
        </w:tc>
        <w:tc>
          <w:tcPr>
            <w:tcW w:w="1978"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300" w:lineRule="exact"/>
              <w:jc w:val="center"/>
              <w:rPr>
                <w:rFonts w:ascii="仿宋_GB2312" w:eastAsia="仿宋_GB2312" w:cs="Arial Narrow"/>
                <w:sz w:val="21"/>
                <w:szCs w:val="21"/>
              </w:rPr>
            </w:pPr>
            <w:r>
              <w:rPr>
                <w:rFonts w:hint="eastAsia" w:ascii="仿宋_GB2312" w:eastAsia="仿宋_GB2312" w:cs="Arial Narrow"/>
                <w:sz w:val="21"/>
                <w:szCs w:val="21"/>
              </w:rPr>
              <w:t>1,396,206.92</w:t>
            </w:r>
          </w:p>
        </w:tc>
        <w:tc>
          <w:tcPr>
            <w:tcW w:w="206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300" w:lineRule="exact"/>
              <w:jc w:val="center"/>
              <w:rPr>
                <w:rFonts w:ascii="仿宋_GB2312" w:eastAsia="仿宋_GB2312" w:cs="Arial Narrow"/>
                <w:sz w:val="21"/>
                <w:szCs w:val="21"/>
              </w:rPr>
            </w:pPr>
            <w:r>
              <w:rPr>
                <w:rFonts w:hint="eastAsia" w:ascii="仿宋_GB2312" w:eastAsia="仿宋_GB2312" w:cs="Arial Narrow"/>
                <w:sz w:val="21"/>
                <w:szCs w:val="21"/>
              </w:rPr>
              <w:t>442,359.31</w:t>
            </w:r>
          </w:p>
        </w:tc>
      </w:tr>
      <w:tr>
        <w:tblPrEx>
          <w:tblCellMar>
            <w:top w:w="0" w:type="dxa"/>
            <w:left w:w="108" w:type="dxa"/>
            <w:bottom w:w="0" w:type="dxa"/>
            <w:right w:w="108" w:type="dxa"/>
          </w:tblCellMar>
        </w:tblPrEx>
        <w:trPr>
          <w:trHeight w:val="113" w:hRule="atLeast"/>
        </w:trPr>
        <w:tc>
          <w:tcPr>
            <w:tcW w:w="709"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spacing w:line="300" w:lineRule="exact"/>
              <w:jc w:val="center"/>
              <w:rPr>
                <w:rFonts w:ascii="仿宋_GB2312" w:eastAsia="仿宋_GB2312" w:cs="Arial Narrow"/>
                <w:sz w:val="21"/>
                <w:szCs w:val="21"/>
              </w:rPr>
            </w:pPr>
            <w:r>
              <w:rPr>
                <w:rFonts w:hint="eastAsia" w:ascii="仿宋_GB2312" w:eastAsia="仿宋_GB2312" w:cs="Arial Narrow"/>
                <w:sz w:val="21"/>
                <w:szCs w:val="21"/>
              </w:rPr>
              <w:t>3</w:t>
            </w:r>
          </w:p>
        </w:tc>
        <w:tc>
          <w:tcPr>
            <w:tcW w:w="123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spacing w:line="300" w:lineRule="exact"/>
              <w:jc w:val="center"/>
              <w:rPr>
                <w:rFonts w:ascii="仿宋_GB2312" w:eastAsia="仿宋_GB2312" w:cs="Arial Narrow"/>
                <w:sz w:val="21"/>
                <w:szCs w:val="21"/>
              </w:rPr>
            </w:pPr>
            <w:r>
              <w:rPr>
                <w:rFonts w:hint="eastAsia" w:ascii="仿宋_GB2312" w:eastAsia="仿宋_GB2312" w:cs="Arial Narrow"/>
                <w:sz w:val="21"/>
                <w:szCs w:val="21"/>
              </w:rPr>
              <w:t>昌黎县</w:t>
            </w:r>
          </w:p>
        </w:tc>
        <w:tc>
          <w:tcPr>
            <w:tcW w:w="1257"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300" w:lineRule="exact"/>
              <w:jc w:val="center"/>
              <w:rPr>
                <w:rFonts w:ascii="仿宋_GB2312" w:eastAsia="仿宋_GB2312" w:cs="Arial Narrow"/>
                <w:sz w:val="21"/>
                <w:szCs w:val="21"/>
              </w:rPr>
            </w:pPr>
            <w:r>
              <w:rPr>
                <w:rFonts w:hint="eastAsia" w:ascii="仿宋_GB2312" w:eastAsia="仿宋_GB2312" w:cs="Arial Narrow"/>
                <w:sz w:val="21"/>
                <w:szCs w:val="21"/>
              </w:rPr>
              <w:t>15134</w:t>
            </w:r>
          </w:p>
        </w:tc>
        <w:tc>
          <w:tcPr>
            <w:tcW w:w="2151"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300" w:lineRule="exact"/>
              <w:jc w:val="center"/>
              <w:rPr>
                <w:rFonts w:ascii="仿宋_GB2312" w:eastAsia="仿宋_GB2312" w:cs="Arial Narrow"/>
                <w:sz w:val="21"/>
                <w:szCs w:val="21"/>
              </w:rPr>
            </w:pPr>
            <w:r>
              <w:rPr>
                <w:rFonts w:hint="eastAsia" w:ascii="仿宋_GB2312" w:eastAsia="仿宋_GB2312" w:cs="Arial Narrow"/>
                <w:sz w:val="21"/>
                <w:szCs w:val="21"/>
              </w:rPr>
              <w:t>37,591,748.01</w:t>
            </w:r>
          </w:p>
        </w:tc>
        <w:tc>
          <w:tcPr>
            <w:tcW w:w="1978"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300" w:lineRule="exact"/>
              <w:jc w:val="center"/>
              <w:rPr>
                <w:rFonts w:ascii="仿宋_GB2312" w:eastAsia="仿宋_GB2312" w:cs="Arial Narrow"/>
                <w:sz w:val="21"/>
                <w:szCs w:val="21"/>
              </w:rPr>
            </w:pPr>
            <w:r>
              <w:rPr>
                <w:rFonts w:hint="eastAsia" w:ascii="仿宋_GB2312" w:eastAsia="仿宋_GB2312" w:cs="Arial Narrow"/>
                <w:sz w:val="21"/>
                <w:szCs w:val="21"/>
              </w:rPr>
              <w:t>15,140,534.78</w:t>
            </w:r>
          </w:p>
        </w:tc>
        <w:tc>
          <w:tcPr>
            <w:tcW w:w="206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300" w:lineRule="exact"/>
              <w:jc w:val="center"/>
              <w:rPr>
                <w:rFonts w:ascii="仿宋_GB2312" w:eastAsia="仿宋_GB2312" w:cs="Arial Narrow"/>
                <w:sz w:val="21"/>
                <w:szCs w:val="21"/>
              </w:rPr>
            </w:pPr>
            <w:r>
              <w:rPr>
                <w:rFonts w:hint="eastAsia" w:ascii="仿宋_GB2312" w:eastAsia="仿宋_GB2312" w:cs="Arial Narrow"/>
                <w:sz w:val="21"/>
                <w:szCs w:val="21"/>
              </w:rPr>
              <w:t>3,929,116.64</w:t>
            </w:r>
          </w:p>
        </w:tc>
      </w:tr>
      <w:tr>
        <w:tblPrEx>
          <w:tblCellMar>
            <w:top w:w="0" w:type="dxa"/>
            <w:left w:w="108" w:type="dxa"/>
            <w:bottom w:w="0" w:type="dxa"/>
            <w:right w:w="108" w:type="dxa"/>
          </w:tblCellMar>
        </w:tblPrEx>
        <w:trPr>
          <w:trHeight w:val="109"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300" w:lineRule="exact"/>
              <w:jc w:val="center"/>
              <w:rPr>
                <w:rFonts w:ascii="仿宋_GB2312" w:eastAsia="仿宋_GB2312" w:cs="Arial Narrow"/>
                <w:sz w:val="21"/>
                <w:szCs w:val="21"/>
              </w:rPr>
            </w:pPr>
            <w:r>
              <w:rPr>
                <w:rFonts w:hint="eastAsia" w:ascii="仿宋_GB2312" w:eastAsia="仿宋_GB2312" w:cs="Arial Narrow"/>
                <w:sz w:val="21"/>
                <w:szCs w:val="21"/>
              </w:rPr>
              <w:t>4</w:t>
            </w:r>
          </w:p>
        </w:tc>
        <w:tc>
          <w:tcPr>
            <w:tcW w:w="1230"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300" w:lineRule="exact"/>
              <w:jc w:val="center"/>
              <w:rPr>
                <w:rFonts w:ascii="仿宋_GB2312" w:eastAsia="仿宋_GB2312" w:cs="Arial Narrow"/>
                <w:sz w:val="21"/>
                <w:szCs w:val="21"/>
              </w:rPr>
            </w:pPr>
            <w:r>
              <w:rPr>
                <w:rFonts w:hint="eastAsia" w:ascii="仿宋_GB2312" w:eastAsia="仿宋_GB2312" w:cs="Arial Narrow"/>
                <w:sz w:val="21"/>
                <w:szCs w:val="21"/>
              </w:rPr>
              <w:t>抚宁区</w:t>
            </w:r>
          </w:p>
        </w:tc>
        <w:tc>
          <w:tcPr>
            <w:tcW w:w="1257"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300" w:lineRule="exact"/>
              <w:jc w:val="center"/>
              <w:rPr>
                <w:rFonts w:ascii="仿宋_GB2312" w:eastAsia="仿宋_GB2312" w:cs="Arial Narrow"/>
                <w:sz w:val="21"/>
                <w:szCs w:val="21"/>
              </w:rPr>
            </w:pPr>
            <w:r>
              <w:rPr>
                <w:rFonts w:hint="eastAsia" w:ascii="仿宋_GB2312" w:eastAsia="仿宋_GB2312" w:cs="Arial Narrow"/>
                <w:sz w:val="21"/>
                <w:szCs w:val="21"/>
              </w:rPr>
              <w:t>6899</w:t>
            </w:r>
          </w:p>
        </w:tc>
        <w:tc>
          <w:tcPr>
            <w:tcW w:w="2151"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300" w:lineRule="exact"/>
              <w:jc w:val="center"/>
              <w:rPr>
                <w:rFonts w:ascii="仿宋_GB2312" w:eastAsia="仿宋_GB2312" w:cs="Arial Narrow"/>
                <w:sz w:val="21"/>
                <w:szCs w:val="21"/>
              </w:rPr>
            </w:pPr>
            <w:r>
              <w:rPr>
                <w:rFonts w:hint="eastAsia" w:ascii="仿宋_GB2312" w:eastAsia="仿宋_GB2312" w:cs="Arial Narrow"/>
                <w:sz w:val="21"/>
                <w:szCs w:val="21"/>
              </w:rPr>
              <w:t>43,278,697.78</w:t>
            </w:r>
          </w:p>
        </w:tc>
        <w:tc>
          <w:tcPr>
            <w:tcW w:w="1978"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300" w:lineRule="exact"/>
              <w:jc w:val="center"/>
              <w:rPr>
                <w:rFonts w:ascii="仿宋_GB2312" w:eastAsia="仿宋_GB2312" w:cs="Arial Narrow"/>
                <w:sz w:val="21"/>
                <w:szCs w:val="21"/>
              </w:rPr>
            </w:pPr>
            <w:r>
              <w:rPr>
                <w:rFonts w:hint="eastAsia" w:ascii="仿宋_GB2312" w:eastAsia="仿宋_GB2312" w:cs="Arial Narrow"/>
                <w:sz w:val="21"/>
                <w:szCs w:val="21"/>
              </w:rPr>
              <w:t>23,104,286.06</w:t>
            </w:r>
          </w:p>
        </w:tc>
        <w:tc>
          <w:tcPr>
            <w:tcW w:w="206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300" w:lineRule="exact"/>
              <w:jc w:val="center"/>
              <w:rPr>
                <w:rFonts w:ascii="仿宋_GB2312" w:eastAsia="仿宋_GB2312" w:cs="Arial Narrow"/>
                <w:sz w:val="21"/>
                <w:szCs w:val="21"/>
              </w:rPr>
            </w:pPr>
            <w:r>
              <w:rPr>
                <w:rFonts w:hint="eastAsia" w:ascii="仿宋_GB2312" w:eastAsia="仿宋_GB2312" w:cs="Arial Narrow"/>
                <w:sz w:val="21"/>
                <w:szCs w:val="21"/>
              </w:rPr>
              <w:t>4,475,765.16</w:t>
            </w:r>
          </w:p>
        </w:tc>
      </w:tr>
      <w:tr>
        <w:tblPrEx>
          <w:tblCellMar>
            <w:top w:w="0" w:type="dxa"/>
            <w:left w:w="108" w:type="dxa"/>
            <w:bottom w:w="0" w:type="dxa"/>
            <w:right w:w="108" w:type="dxa"/>
          </w:tblCellMar>
        </w:tblPrEx>
        <w:trPr>
          <w:trHeight w:val="109"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300" w:lineRule="exact"/>
              <w:jc w:val="center"/>
              <w:rPr>
                <w:rFonts w:ascii="仿宋_GB2312" w:eastAsia="仿宋_GB2312" w:cs="Arial Narrow"/>
                <w:sz w:val="21"/>
                <w:szCs w:val="21"/>
              </w:rPr>
            </w:pPr>
            <w:r>
              <w:rPr>
                <w:rFonts w:hint="eastAsia" w:ascii="仿宋_GB2312" w:eastAsia="仿宋_GB2312" w:cs="Arial Narrow"/>
                <w:sz w:val="21"/>
                <w:szCs w:val="21"/>
              </w:rPr>
              <w:t>5</w:t>
            </w:r>
          </w:p>
        </w:tc>
        <w:tc>
          <w:tcPr>
            <w:tcW w:w="1230"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300" w:lineRule="exact"/>
              <w:jc w:val="center"/>
              <w:rPr>
                <w:rFonts w:ascii="仿宋_GB2312" w:eastAsia="仿宋_GB2312" w:cs="Arial Narrow"/>
                <w:sz w:val="21"/>
                <w:szCs w:val="21"/>
              </w:rPr>
            </w:pPr>
            <w:r>
              <w:rPr>
                <w:rFonts w:hint="eastAsia" w:ascii="仿宋_GB2312" w:eastAsia="仿宋_GB2312" w:cs="Arial Narrow"/>
                <w:sz w:val="21"/>
                <w:szCs w:val="21"/>
              </w:rPr>
              <w:t>海港区</w:t>
            </w:r>
          </w:p>
        </w:tc>
        <w:tc>
          <w:tcPr>
            <w:tcW w:w="1257"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300" w:lineRule="exact"/>
              <w:jc w:val="center"/>
              <w:rPr>
                <w:rFonts w:ascii="仿宋_GB2312" w:eastAsia="仿宋_GB2312" w:cs="Arial Narrow"/>
                <w:sz w:val="21"/>
                <w:szCs w:val="21"/>
              </w:rPr>
            </w:pPr>
            <w:r>
              <w:rPr>
                <w:rFonts w:hint="eastAsia" w:ascii="仿宋_GB2312" w:eastAsia="仿宋_GB2312" w:cs="Arial Narrow"/>
                <w:sz w:val="21"/>
                <w:szCs w:val="21"/>
              </w:rPr>
              <w:t>9898</w:t>
            </w:r>
          </w:p>
        </w:tc>
        <w:tc>
          <w:tcPr>
            <w:tcW w:w="2151"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300" w:lineRule="exact"/>
              <w:jc w:val="center"/>
              <w:rPr>
                <w:rFonts w:ascii="仿宋_GB2312" w:eastAsia="仿宋_GB2312" w:cs="Arial Narrow"/>
                <w:sz w:val="21"/>
                <w:szCs w:val="21"/>
              </w:rPr>
            </w:pPr>
            <w:r>
              <w:rPr>
                <w:rFonts w:hint="eastAsia" w:ascii="仿宋_GB2312" w:eastAsia="仿宋_GB2312" w:cs="Arial Narrow"/>
                <w:sz w:val="21"/>
                <w:szCs w:val="21"/>
              </w:rPr>
              <w:t>70,363,456.44</w:t>
            </w:r>
          </w:p>
        </w:tc>
        <w:tc>
          <w:tcPr>
            <w:tcW w:w="1978"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300" w:lineRule="exact"/>
              <w:jc w:val="center"/>
              <w:rPr>
                <w:rFonts w:ascii="仿宋_GB2312" w:eastAsia="仿宋_GB2312" w:cs="Arial Narrow"/>
                <w:sz w:val="21"/>
                <w:szCs w:val="21"/>
              </w:rPr>
            </w:pPr>
            <w:r>
              <w:rPr>
                <w:rFonts w:hint="eastAsia" w:ascii="仿宋_GB2312" w:eastAsia="仿宋_GB2312" w:cs="Arial Narrow"/>
                <w:sz w:val="21"/>
                <w:szCs w:val="21"/>
              </w:rPr>
              <w:t>37,491,786.58</w:t>
            </w:r>
          </w:p>
        </w:tc>
        <w:tc>
          <w:tcPr>
            <w:tcW w:w="206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300" w:lineRule="exact"/>
              <w:jc w:val="center"/>
              <w:rPr>
                <w:rFonts w:ascii="仿宋_GB2312" w:eastAsia="仿宋_GB2312" w:cs="Arial Narrow"/>
                <w:sz w:val="21"/>
                <w:szCs w:val="21"/>
              </w:rPr>
            </w:pPr>
            <w:r>
              <w:rPr>
                <w:rFonts w:hint="eastAsia" w:ascii="仿宋_GB2312" w:eastAsia="仿宋_GB2312" w:cs="Arial Narrow"/>
                <w:sz w:val="21"/>
                <w:szCs w:val="21"/>
              </w:rPr>
              <w:t>7,854,392.57</w:t>
            </w:r>
          </w:p>
        </w:tc>
      </w:tr>
      <w:tr>
        <w:tblPrEx>
          <w:tblCellMar>
            <w:top w:w="0" w:type="dxa"/>
            <w:left w:w="108" w:type="dxa"/>
            <w:bottom w:w="0" w:type="dxa"/>
            <w:right w:w="108" w:type="dxa"/>
          </w:tblCellMar>
        </w:tblPrEx>
        <w:trPr>
          <w:trHeight w:val="109"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300" w:lineRule="exact"/>
              <w:jc w:val="center"/>
              <w:rPr>
                <w:rFonts w:ascii="仿宋_GB2312" w:eastAsia="仿宋_GB2312" w:cs="Arial Narrow"/>
                <w:sz w:val="21"/>
                <w:szCs w:val="21"/>
              </w:rPr>
            </w:pPr>
            <w:r>
              <w:rPr>
                <w:rFonts w:hint="eastAsia" w:ascii="仿宋_GB2312" w:eastAsia="仿宋_GB2312" w:cs="Arial Narrow"/>
                <w:sz w:val="21"/>
                <w:szCs w:val="21"/>
              </w:rPr>
              <w:t>6</w:t>
            </w:r>
          </w:p>
        </w:tc>
        <w:tc>
          <w:tcPr>
            <w:tcW w:w="1230"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300" w:lineRule="exact"/>
              <w:jc w:val="center"/>
              <w:rPr>
                <w:rFonts w:ascii="仿宋_GB2312" w:eastAsia="仿宋_GB2312" w:cs="Arial Narrow"/>
                <w:sz w:val="21"/>
                <w:szCs w:val="21"/>
              </w:rPr>
            </w:pPr>
            <w:r>
              <w:rPr>
                <w:rFonts w:hint="eastAsia" w:ascii="仿宋_GB2312" w:eastAsia="仿宋_GB2312" w:cs="Arial Narrow"/>
                <w:sz w:val="21"/>
                <w:szCs w:val="21"/>
              </w:rPr>
              <w:t>开发区</w:t>
            </w:r>
          </w:p>
        </w:tc>
        <w:tc>
          <w:tcPr>
            <w:tcW w:w="1257"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300" w:lineRule="exact"/>
              <w:jc w:val="center"/>
              <w:rPr>
                <w:rFonts w:ascii="仿宋_GB2312" w:eastAsia="仿宋_GB2312" w:cs="Arial Narrow"/>
                <w:sz w:val="21"/>
                <w:szCs w:val="21"/>
              </w:rPr>
            </w:pPr>
            <w:r>
              <w:rPr>
                <w:rFonts w:hint="eastAsia" w:ascii="仿宋_GB2312" w:eastAsia="仿宋_GB2312" w:cs="Arial Narrow"/>
                <w:sz w:val="21"/>
                <w:szCs w:val="21"/>
              </w:rPr>
              <w:t>219</w:t>
            </w:r>
          </w:p>
        </w:tc>
        <w:tc>
          <w:tcPr>
            <w:tcW w:w="2151"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300" w:lineRule="exact"/>
              <w:jc w:val="center"/>
              <w:rPr>
                <w:rFonts w:ascii="仿宋_GB2312" w:eastAsia="仿宋_GB2312" w:cs="Arial Narrow"/>
                <w:sz w:val="21"/>
                <w:szCs w:val="21"/>
              </w:rPr>
            </w:pPr>
            <w:r>
              <w:rPr>
                <w:rFonts w:hint="eastAsia" w:ascii="仿宋_GB2312" w:eastAsia="仿宋_GB2312" w:cs="Arial Narrow"/>
                <w:sz w:val="21"/>
                <w:szCs w:val="21"/>
              </w:rPr>
              <w:t>5,330,024.12</w:t>
            </w:r>
          </w:p>
        </w:tc>
        <w:tc>
          <w:tcPr>
            <w:tcW w:w="1978"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300" w:lineRule="exact"/>
              <w:jc w:val="center"/>
              <w:rPr>
                <w:rFonts w:ascii="仿宋_GB2312" w:eastAsia="仿宋_GB2312" w:cs="Arial Narrow"/>
                <w:sz w:val="21"/>
                <w:szCs w:val="21"/>
              </w:rPr>
            </w:pPr>
            <w:r>
              <w:rPr>
                <w:rFonts w:hint="eastAsia" w:ascii="仿宋_GB2312" w:eastAsia="仿宋_GB2312" w:cs="Arial Narrow"/>
                <w:sz w:val="21"/>
                <w:szCs w:val="21"/>
              </w:rPr>
              <w:t>1,921,175.41</w:t>
            </w:r>
          </w:p>
        </w:tc>
        <w:tc>
          <w:tcPr>
            <w:tcW w:w="206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300" w:lineRule="exact"/>
              <w:jc w:val="center"/>
              <w:rPr>
                <w:rFonts w:ascii="仿宋_GB2312" w:eastAsia="仿宋_GB2312" w:cs="Arial Narrow"/>
                <w:sz w:val="21"/>
                <w:szCs w:val="21"/>
              </w:rPr>
            </w:pPr>
            <w:r>
              <w:rPr>
                <w:rFonts w:hint="eastAsia" w:ascii="仿宋_GB2312" w:eastAsia="仿宋_GB2312" w:cs="Arial Narrow"/>
                <w:sz w:val="21"/>
                <w:szCs w:val="21"/>
              </w:rPr>
              <w:t>505,104.30</w:t>
            </w:r>
          </w:p>
        </w:tc>
      </w:tr>
      <w:tr>
        <w:tblPrEx>
          <w:tblCellMar>
            <w:top w:w="0" w:type="dxa"/>
            <w:left w:w="108" w:type="dxa"/>
            <w:bottom w:w="0" w:type="dxa"/>
            <w:right w:w="108" w:type="dxa"/>
          </w:tblCellMar>
        </w:tblPrEx>
        <w:trPr>
          <w:trHeight w:val="109"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300" w:lineRule="exact"/>
              <w:jc w:val="center"/>
              <w:rPr>
                <w:rFonts w:ascii="仿宋_GB2312" w:eastAsia="仿宋_GB2312" w:cs="Arial Narrow"/>
                <w:sz w:val="21"/>
                <w:szCs w:val="21"/>
              </w:rPr>
            </w:pPr>
            <w:r>
              <w:rPr>
                <w:rFonts w:hint="eastAsia" w:ascii="仿宋_GB2312" w:eastAsia="仿宋_GB2312" w:cs="Arial Narrow"/>
                <w:sz w:val="21"/>
                <w:szCs w:val="21"/>
              </w:rPr>
              <w:t>7</w:t>
            </w:r>
          </w:p>
        </w:tc>
        <w:tc>
          <w:tcPr>
            <w:tcW w:w="1230"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300" w:lineRule="exact"/>
              <w:jc w:val="center"/>
              <w:rPr>
                <w:rFonts w:ascii="仿宋_GB2312" w:eastAsia="仿宋_GB2312" w:cs="Arial Narrow"/>
                <w:sz w:val="21"/>
                <w:szCs w:val="21"/>
              </w:rPr>
            </w:pPr>
            <w:r>
              <w:rPr>
                <w:rFonts w:hint="eastAsia" w:ascii="仿宋_GB2312" w:eastAsia="仿宋_GB2312" w:cs="Arial Narrow"/>
                <w:sz w:val="21"/>
                <w:szCs w:val="21"/>
              </w:rPr>
              <w:t>卢龙县</w:t>
            </w:r>
          </w:p>
        </w:tc>
        <w:tc>
          <w:tcPr>
            <w:tcW w:w="1257"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300" w:lineRule="exact"/>
              <w:jc w:val="center"/>
              <w:rPr>
                <w:rFonts w:ascii="仿宋_GB2312" w:eastAsia="仿宋_GB2312" w:cs="Arial Narrow"/>
                <w:sz w:val="21"/>
                <w:szCs w:val="21"/>
              </w:rPr>
            </w:pPr>
            <w:r>
              <w:rPr>
                <w:rFonts w:hint="eastAsia" w:ascii="仿宋_GB2312" w:eastAsia="仿宋_GB2312" w:cs="Arial Narrow"/>
                <w:sz w:val="21"/>
                <w:szCs w:val="21"/>
              </w:rPr>
              <w:t>6832</w:t>
            </w:r>
          </w:p>
        </w:tc>
        <w:tc>
          <w:tcPr>
            <w:tcW w:w="2151"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300" w:lineRule="exact"/>
              <w:jc w:val="center"/>
              <w:rPr>
                <w:rFonts w:ascii="仿宋_GB2312" w:eastAsia="仿宋_GB2312" w:cs="Arial Narrow"/>
                <w:sz w:val="21"/>
                <w:szCs w:val="21"/>
              </w:rPr>
            </w:pPr>
            <w:r>
              <w:rPr>
                <w:rFonts w:hint="eastAsia" w:ascii="仿宋_GB2312" w:eastAsia="仿宋_GB2312" w:cs="Arial Narrow"/>
                <w:sz w:val="21"/>
                <w:szCs w:val="21"/>
              </w:rPr>
              <w:t>25,630,935.02</w:t>
            </w:r>
          </w:p>
        </w:tc>
        <w:tc>
          <w:tcPr>
            <w:tcW w:w="1978"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300" w:lineRule="exact"/>
              <w:jc w:val="center"/>
              <w:rPr>
                <w:rFonts w:ascii="仿宋_GB2312" w:eastAsia="仿宋_GB2312" w:cs="Arial Narrow"/>
                <w:sz w:val="21"/>
                <w:szCs w:val="21"/>
              </w:rPr>
            </w:pPr>
            <w:r>
              <w:rPr>
                <w:rFonts w:hint="eastAsia" w:ascii="仿宋_GB2312" w:eastAsia="仿宋_GB2312" w:cs="Arial Narrow"/>
                <w:sz w:val="21"/>
                <w:szCs w:val="21"/>
              </w:rPr>
              <w:t>11,586,581.41</w:t>
            </w:r>
          </w:p>
        </w:tc>
        <w:tc>
          <w:tcPr>
            <w:tcW w:w="206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300" w:lineRule="exact"/>
              <w:jc w:val="center"/>
              <w:rPr>
                <w:rFonts w:ascii="仿宋_GB2312" w:eastAsia="仿宋_GB2312" w:cs="Arial Narrow"/>
                <w:sz w:val="21"/>
                <w:szCs w:val="21"/>
              </w:rPr>
            </w:pPr>
            <w:r>
              <w:rPr>
                <w:rFonts w:hint="eastAsia" w:ascii="仿宋_GB2312" w:eastAsia="仿宋_GB2312" w:cs="Arial Narrow"/>
                <w:sz w:val="21"/>
                <w:szCs w:val="21"/>
              </w:rPr>
              <w:t>2,992,135.80</w:t>
            </w:r>
          </w:p>
        </w:tc>
      </w:tr>
      <w:tr>
        <w:tblPrEx>
          <w:tblCellMar>
            <w:top w:w="0" w:type="dxa"/>
            <w:left w:w="108" w:type="dxa"/>
            <w:bottom w:w="0" w:type="dxa"/>
            <w:right w:w="108" w:type="dxa"/>
          </w:tblCellMar>
        </w:tblPrEx>
        <w:trPr>
          <w:trHeight w:val="109"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300" w:lineRule="exact"/>
              <w:jc w:val="center"/>
              <w:rPr>
                <w:rFonts w:ascii="仿宋_GB2312" w:eastAsia="仿宋_GB2312" w:cs="Arial Narrow"/>
                <w:sz w:val="21"/>
                <w:szCs w:val="21"/>
              </w:rPr>
            </w:pPr>
            <w:r>
              <w:rPr>
                <w:rFonts w:hint="eastAsia" w:ascii="仿宋_GB2312" w:eastAsia="仿宋_GB2312" w:cs="Arial Narrow"/>
                <w:sz w:val="21"/>
                <w:szCs w:val="21"/>
              </w:rPr>
              <w:t>8</w:t>
            </w:r>
          </w:p>
        </w:tc>
        <w:tc>
          <w:tcPr>
            <w:tcW w:w="1230"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300" w:lineRule="exact"/>
              <w:jc w:val="center"/>
              <w:rPr>
                <w:rFonts w:ascii="仿宋_GB2312" w:eastAsia="仿宋_GB2312" w:cs="Arial Narrow"/>
                <w:sz w:val="21"/>
                <w:szCs w:val="21"/>
              </w:rPr>
            </w:pPr>
            <w:r>
              <w:rPr>
                <w:rFonts w:hint="eastAsia" w:ascii="仿宋_GB2312" w:eastAsia="仿宋_GB2312" w:cs="Arial Narrow"/>
                <w:sz w:val="21"/>
                <w:szCs w:val="21"/>
              </w:rPr>
              <w:t>青龙县</w:t>
            </w:r>
          </w:p>
        </w:tc>
        <w:tc>
          <w:tcPr>
            <w:tcW w:w="1257"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300" w:lineRule="exact"/>
              <w:jc w:val="center"/>
              <w:rPr>
                <w:rFonts w:ascii="仿宋_GB2312" w:eastAsia="仿宋_GB2312" w:cs="Arial Narrow"/>
                <w:sz w:val="21"/>
                <w:szCs w:val="21"/>
              </w:rPr>
            </w:pPr>
            <w:r>
              <w:rPr>
                <w:rFonts w:hint="eastAsia" w:ascii="仿宋_GB2312" w:eastAsia="仿宋_GB2312" w:cs="Arial Narrow"/>
                <w:sz w:val="21"/>
                <w:szCs w:val="21"/>
              </w:rPr>
              <w:t>8966</w:t>
            </w:r>
          </w:p>
        </w:tc>
        <w:tc>
          <w:tcPr>
            <w:tcW w:w="2151"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300" w:lineRule="exact"/>
              <w:jc w:val="center"/>
              <w:rPr>
                <w:rFonts w:ascii="仿宋_GB2312" w:eastAsia="仿宋_GB2312" w:cs="Arial Narrow"/>
                <w:sz w:val="21"/>
                <w:szCs w:val="21"/>
              </w:rPr>
            </w:pPr>
            <w:r>
              <w:rPr>
                <w:rFonts w:hint="eastAsia" w:ascii="仿宋_GB2312" w:eastAsia="仿宋_GB2312" w:cs="Arial Narrow"/>
                <w:sz w:val="21"/>
                <w:szCs w:val="21"/>
              </w:rPr>
              <w:t>48,428,391.96</w:t>
            </w:r>
          </w:p>
        </w:tc>
        <w:tc>
          <w:tcPr>
            <w:tcW w:w="1978"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300" w:lineRule="exact"/>
              <w:jc w:val="center"/>
              <w:rPr>
                <w:rFonts w:ascii="仿宋_GB2312" w:eastAsia="仿宋_GB2312" w:cs="Arial Narrow"/>
                <w:sz w:val="21"/>
                <w:szCs w:val="21"/>
              </w:rPr>
            </w:pPr>
            <w:r>
              <w:rPr>
                <w:rFonts w:hint="eastAsia" w:ascii="仿宋_GB2312" w:eastAsia="仿宋_GB2312" w:cs="Arial Narrow"/>
                <w:sz w:val="21"/>
                <w:szCs w:val="21"/>
              </w:rPr>
              <w:t>24,102,722.97</w:t>
            </w:r>
          </w:p>
        </w:tc>
        <w:tc>
          <w:tcPr>
            <w:tcW w:w="206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300" w:lineRule="exact"/>
              <w:jc w:val="center"/>
              <w:rPr>
                <w:rFonts w:ascii="仿宋_GB2312" w:eastAsia="仿宋_GB2312" w:cs="Arial Narrow"/>
                <w:sz w:val="21"/>
                <w:szCs w:val="21"/>
              </w:rPr>
            </w:pPr>
            <w:r>
              <w:rPr>
                <w:rFonts w:hint="eastAsia" w:ascii="仿宋_GB2312" w:eastAsia="仿宋_GB2312" w:cs="Arial Narrow"/>
                <w:sz w:val="21"/>
                <w:szCs w:val="21"/>
              </w:rPr>
              <w:t>5,232,913.12</w:t>
            </w:r>
          </w:p>
        </w:tc>
      </w:tr>
      <w:tr>
        <w:tblPrEx>
          <w:tblCellMar>
            <w:top w:w="0" w:type="dxa"/>
            <w:left w:w="108" w:type="dxa"/>
            <w:bottom w:w="0" w:type="dxa"/>
            <w:right w:w="108" w:type="dxa"/>
          </w:tblCellMar>
        </w:tblPrEx>
        <w:trPr>
          <w:trHeight w:val="100"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300" w:lineRule="exact"/>
              <w:jc w:val="center"/>
              <w:rPr>
                <w:rFonts w:ascii="仿宋_GB2312" w:eastAsia="仿宋_GB2312" w:cs="Arial Narrow"/>
                <w:sz w:val="21"/>
                <w:szCs w:val="21"/>
              </w:rPr>
            </w:pPr>
            <w:r>
              <w:rPr>
                <w:rFonts w:hint="eastAsia" w:ascii="仿宋_GB2312" w:eastAsia="仿宋_GB2312" w:cs="Arial Narrow"/>
                <w:sz w:val="21"/>
                <w:szCs w:val="21"/>
              </w:rPr>
              <w:t>9</w:t>
            </w:r>
          </w:p>
        </w:tc>
        <w:tc>
          <w:tcPr>
            <w:tcW w:w="1230"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300" w:lineRule="exact"/>
              <w:jc w:val="center"/>
              <w:rPr>
                <w:rFonts w:ascii="仿宋_GB2312" w:eastAsia="仿宋_GB2312" w:cs="Arial Narrow"/>
                <w:sz w:val="21"/>
                <w:szCs w:val="21"/>
              </w:rPr>
            </w:pPr>
            <w:r>
              <w:rPr>
                <w:rFonts w:hint="eastAsia" w:ascii="仿宋_GB2312" w:eastAsia="仿宋_GB2312" w:cs="Arial Narrow"/>
                <w:sz w:val="21"/>
                <w:szCs w:val="21"/>
              </w:rPr>
              <w:t>山海关</w:t>
            </w:r>
          </w:p>
        </w:tc>
        <w:tc>
          <w:tcPr>
            <w:tcW w:w="1257"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300" w:lineRule="exact"/>
              <w:jc w:val="center"/>
              <w:rPr>
                <w:rFonts w:ascii="仿宋_GB2312" w:eastAsia="仿宋_GB2312" w:cs="Arial Narrow"/>
                <w:sz w:val="21"/>
                <w:szCs w:val="21"/>
              </w:rPr>
            </w:pPr>
            <w:r>
              <w:rPr>
                <w:rFonts w:hint="eastAsia" w:ascii="仿宋_GB2312" w:eastAsia="仿宋_GB2312" w:cs="Arial Narrow"/>
                <w:sz w:val="21"/>
                <w:szCs w:val="21"/>
              </w:rPr>
              <w:t>1905</w:t>
            </w:r>
          </w:p>
        </w:tc>
        <w:tc>
          <w:tcPr>
            <w:tcW w:w="2151"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300" w:lineRule="exact"/>
              <w:jc w:val="center"/>
              <w:rPr>
                <w:rFonts w:ascii="仿宋_GB2312" w:eastAsia="仿宋_GB2312" w:cs="Arial Narrow"/>
                <w:sz w:val="21"/>
                <w:szCs w:val="21"/>
              </w:rPr>
            </w:pPr>
            <w:r>
              <w:rPr>
                <w:rFonts w:hint="eastAsia" w:ascii="仿宋_GB2312" w:eastAsia="仿宋_GB2312" w:cs="Arial Narrow"/>
                <w:sz w:val="21"/>
                <w:szCs w:val="21"/>
              </w:rPr>
              <w:t>8,923,015.74</w:t>
            </w:r>
          </w:p>
        </w:tc>
        <w:tc>
          <w:tcPr>
            <w:tcW w:w="1978"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300" w:lineRule="exact"/>
              <w:jc w:val="center"/>
              <w:rPr>
                <w:rFonts w:ascii="仿宋_GB2312" w:eastAsia="仿宋_GB2312" w:cs="Arial Narrow"/>
                <w:sz w:val="21"/>
                <w:szCs w:val="21"/>
              </w:rPr>
            </w:pPr>
            <w:r>
              <w:rPr>
                <w:rFonts w:hint="eastAsia" w:ascii="仿宋_GB2312" w:eastAsia="仿宋_GB2312" w:cs="Arial Narrow"/>
                <w:sz w:val="21"/>
                <w:szCs w:val="21"/>
              </w:rPr>
              <w:t>4,645,603.72</w:t>
            </w:r>
          </w:p>
        </w:tc>
        <w:tc>
          <w:tcPr>
            <w:tcW w:w="206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300" w:lineRule="exact"/>
              <w:jc w:val="center"/>
              <w:rPr>
                <w:rFonts w:ascii="仿宋_GB2312" w:eastAsia="仿宋_GB2312" w:cs="Arial Narrow"/>
                <w:sz w:val="21"/>
                <w:szCs w:val="21"/>
              </w:rPr>
            </w:pPr>
            <w:r>
              <w:rPr>
                <w:rFonts w:hint="eastAsia" w:ascii="仿宋_GB2312" w:eastAsia="仿宋_GB2312" w:cs="Arial Narrow"/>
                <w:sz w:val="21"/>
                <w:szCs w:val="21"/>
              </w:rPr>
              <w:t>882,407.45</w:t>
            </w:r>
          </w:p>
        </w:tc>
      </w:tr>
      <w:tr>
        <w:tblPrEx>
          <w:tblCellMar>
            <w:top w:w="0" w:type="dxa"/>
            <w:left w:w="108" w:type="dxa"/>
            <w:bottom w:w="0" w:type="dxa"/>
            <w:right w:w="108" w:type="dxa"/>
          </w:tblCellMar>
        </w:tblPrEx>
        <w:trPr>
          <w:trHeight w:val="99"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300" w:lineRule="exact"/>
              <w:jc w:val="center"/>
              <w:rPr>
                <w:rFonts w:ascii="仿宋_GB2312" w:eastAsia="仿宋_GB2312" w:cs="Arial Narrow"/>
                <w:sz w:val="21"/>
                <w:szCs w:val="21"/>
              </w:rPr>
            </w:pPr>
            <w:r>
              <w:rPr>
                <w:rFonts w:hint="eastAsia" w:ascii="仿宋_GB2312" w:eastAsia="仿宋_GB2312" w:cs="Arial Narrow"/>
                <w:sz w:val="21"/>
                <w:szCs w:val="21"/>
              </w:rPr>
              <w:t>10</w:t>
            </w:r>
          </w:p>
        </w:tc>
        <w:tc>
          <w:tcPr>
            <w:tcW w:w="1230"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300" w:lineRule="exact"/>
              <w:jc w:val="center"/>
              <w:rPr>
                <w:rFonts w:ascii="仿宋_GB2312" w:eastAsia="仿宋_GB2312" w:cs="Arial Narrow"/>
                <w:sz w:val="21"/>
                <w:szCs w:val="21"/>
              </w:rPr>
            </w:pPr>
            <w:r>
              <w:rPr>
                <w:rFonts w:hint="eastAsia" w:ascii="仿宋_GB2312" w:eastAsia="仿宋_GB2312" w:cs="Arial Narrow"/>
                <w:sz w:val="21"/>
                <w:szCs w:val="21"/>
              </w:rPr>
              <w:t>市本级</w:t>
            </w:r>
          </w:p>
        </w:tc>
        <w:tc>
          <w:tcPr>
            <w:tcW w:w="1257"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300" w:lineRule="exact"/>
              <w:jc w:val="center"/>
              <w:rPr>
                <w:rFonts w:ascii="仿宋_GB2312" w:eastAsia="仿宋_GB2312" w:cs="Arial Narrow"/>
                <w:sz w:val="21"/>
                <w:szCs w:val="21"/>
              </w:rPr>
            </w:pPr>
            <w:r>
              <w:rPr>
                <w:rFonts w:hint="eastAsia" w:ascii="仿宋_GB2312" w:eastAsia="仿宋_GB2312" w:cs="Arial Narrow"/>
                <w:sz w:val="21"/>
                <w:szCs w:val="21"/>
              </w:rPr>
              <w:t>36663</w:t>
            </w:r>
          </w:p>
        </w:tc>
        <w:tc>
          <w:tcPr>
            <w:tcW w:w="2151"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300" w:lineRule="exact"/>
              <w:jc w:val="center"/>
              <w:rPr>
                <w:rFonts w:ascii="仿宋_GB2312" w:eastAsia="仿宋_GB2312" w:cs="Arial Narrow"/>
                <w:sz w:val="21"/>
                <w:szCs w:val="21"/>
              </w:rPr>
            </w:pPr>
            <w:r>
              <w:rPr>
                <w:rFonts w:hint="eastAsia" w:ascii="仿宋_GB2312" w:eastAsia="仿宋_GB2312" w:cs="Arial Narrow"/>
                <w:sz w:val="21"/>
                <w:szCs w:val="21"/>
              </w:rPr>
              <w:t>746,030,052.62</w:t>
            </w:r>
          </w:p>
        </w:tc>
        <w:tc>
          <w:tcPr>
            <w:tcW w:w="1978"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300" w:lineRule="exact"/>
              <w:jc w:val="center"/>
              <w:rPr>
                <w:rFonts w:ascii="仿宋_GB2312" w:eastAsia="仿宋_GB2312" w:cs="Arial Narrow"/>
                <w:sz w:val="21"/>
                <w:szCs w:val="21"/>
              </w:rPr>
            </w:pPr>
            <w:r>
              <w:rPr>
                <w:rFonts w:hint="eastAsia" w:ascii="仿宋_GB2312" w:eastAsia="仿宋_GB2312" w:cs="Arial Narrow"/>
                <w:sz w:val="21"/>
                <w:szCs w:val="21"/>
              </w:rPr>
              <w:t>316,135,992.80</w:t>
            </w:r>
          </w:p>
        </w:tc>
        <w:tc>
          <w:tcPr>
            <w:tcW w:w="206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300" w:lineRule="exact"/>
              <w:jc w:val="center"/>
              <w:rPr>
                <w:rFonts w:ascii="仿宋_GB2312" w:eastAsia="仿宋_GB2312" w:cs="Arial Narrow"/>
                <w:sz w:val="21"/>
                <w:szCs w:val="21"/>
              </w:rPr>
            </w:pPr>
            <w:r>
              <w:rPr>
                <w:rFonts w:hint="eastAsia" w:ascii="仿宋_GB2312" w:eastAsia="仿宋_GB2312" w:cs="Arial Narrow"/>
                <w:sz w:val="21"/>
                <w:szCs w:val="21"/>
              </w:rPr>
              <w:t>94,874,464.20</w:t>
            </w:r>
          </w:p>
        </w:tc>
      </w:tr>
      <w:tr>
        <w:tblPrEx>
          <w:tblCellMar>
            <w:top w:w="0" w:type="dxa"/>
            <w:left w:w="108" w:type="dxa"/>
            <w:bottom w:w="0" w:type="dxa"/>
            <w:right w:w="108" w:type="dxa"/>
          </w:tblCellMar>
        </w:tblPrEx>
        <w:trPr>
          <w:trHeight w:val="99" w:hRule="atLeast"/>
        </w:trPr>
        <w:tc>
          <w:tcPr>
            <w:tcW w:w="1939"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300" w:lineRule="exact"/>
              <w:jc w:val="center"/>
              <w:rPr>
                <w:rFonts w:ascii="仿宋_GB2312" w:eastAsia="仿宋_GB2312" w:cs="Arial Narrow"/>
                <w:sz w:val="21"/>
                <w:szCs w:val="21"/>
              </w:rPr>
            </w:pPr>
            <w:r>
              <w:rPr>
                <w:rFonts w:hint="eastAsia" w:ascii="仿宋_GB2312" w:eastAsia="仿宋_GB2312" w:cs="Arial Narrow"/>
                <w:sz w:val="21"/>
                <w:szCs w:val="21"/>
              </w:rPr>
              <w:t>合  计</w:t>
            </w:r>
          </w:p>
        </w:tc>
        <w:tc>
          <w:tcPr>
            <w:tcW w:w="1257"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300" w:lineRule="exact"/>
              <w:jc w:val="center"/>
              <w:rPr>
                <w:rFonts w:ascii="仿宋_GB2312" w:eastAsia="仿宋_GB2312" w:cs="Arial Narrow"/>
                <w:b/>
                <w:sz w:val="21"/>
                <w:szCs w:val="21"/>
              </w:rPr>
            </w:pPr>
            <w:r>
              <w:rPr>
                <w:rFonts w:hint="eastAsia" w:ascii="仿宋_GB2312" w:eastAsia="仿宋_GB2312" w:cs="Arial Narrow"/>
                <w:b/>
                <w:sz w:val="21"/>
                <w:szCs w:val="21"/>
              </w:rPr>
              <w:fldChar w:fldCharType="begin"/>
            </w:r>
            <w:r>
              <w:rPr>
                <w:rFonts w:hint="eastAsia" w:ascii="仿宋_GB2312" w:eastAsia="仿宋_GB2312" w:cs="Arial Narrow"/>
                <w:b/>
                <w:sz w:val="21"/>
                <w:szCs w:val="21"/>
              </w:rPr>
              <w:instrText xml:space="preserve"> =SUM(ABOVE) </w:instrText>
            </w:r>
            <w:r>
              <w:rPr>
                <w:rFonts w:hint="eastAsia" w:ascii="仿宋_GB2312" w:eastAsia="仿宋_GB2312" w:cs="Arial Narrow"/>
                <w:b/>
                <w:sz w:val="21"/>
                <w:szCs w:val="21"/>
              </w:rPr>
              <w:fldChar w:fldCharType="separate"/>
            </w:r>
            <w:r>
              <w:rPr>
                <w:rFonts w:hint="eastAsia" w:ascii="仿宋_GB2312" w:eastAsia="仿宋_GB2312" w:cs="Arial Narrow"/>
                <w:b/>
                <w:sz w:val="21"/>
                <w:szCs w:val="21"/>
              </w:rPr>
              <w:t>89479</w:t>
            </w:r>
            <w:r>
              <w:rPr>
                <w:rFonts w:hint="eastAsia" w:ascii="仿宋_GB2312" w:eastAsia="仿宋_GB2312" w:cs="Arial Narrow"/>
                <w:b/>
                <w:sz w:val="21"/>
                <w:szCs w:val="21"/>
              </w:rPr>
              <w:fldChar w:fldCharType="end"/>
            </w:r>
          </w:p>
        </w:tc>
        <w:tc>
          <w:tcPr>
            <w:tcW w:w="2151"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300" w:lineRule="exact"/>
              <w:jc w:val="center"/>
              <w:rPr>
                <w:rFonts w:ascii="仿宋_GB2312" w:eastAsia="仿宋_GB2312" w:cs="Arial Narrow"/>
                <w:b/>
                <w:bCs/>
                <w:sz w:val="21"/>
                <w:szCs w:val="21"/>
              </w:rPr>
            </w:pPr>
            <w:r>
              <w:rPr>
                <w:rFonts w:hint="eastAsia" w:ascii="仿宋_GB2312" w:eastAsia="仿宋_GB2312" w:cs="Arial Narrow"/>
                <w:b/>
                <w:bCs/>
                <w:sz w:val="21"/>
                <w:szCs w:val="21"/>
              </w:rPr>
              <w:fldChar w:fldCharType="begin"/>
            </w:r>
            <w:r>
              <w:rPr>
                <w:rFonts w:hint="eastAsia" w:ascii="仿宋_GB2312" w:eastAsia="仿宋_GB2312" w:cs="Arial Narrow"/>
                <w:b/>
                <w:bCs/>
                <w:sz w:val="21"/>
                <w:szCs w:val="21"/>
              </w:rPr>
              <w:instrText xml:space="preserve"> =SUM(ABOVE) </w:instrText>
            </w:r>
            <w:r>
              <w:rPr>
                <w:rFonts w:hint="eastAsia" w:ascii="仿宋_GB2312" w:eastAsia="仿宋_GB2312" w:cs="Arial Narrow"/>
                <w:b/>
                <w:bCs/>
                <w:sz w:val="21"/>
                <w:szCs w:val="21"/>
              </w:rPr>
              <w:fldChar w:fldCharType="separate"/>
            </w:r>
            <w:r>
              <w:rPr>
                <w:rFonts w:hint="eastAsia" w:ascii="仿宋_GB2312" w:eastAsia="仿宋_GB2312" w:cs="Arial Narrow"/>
                <w:b/>
                <w:bCs/>
                <w:sz w:val="21"/>
                <w:szCs w:val="21"/>
              </w:rPr>
              <w:t>1,003,233,536.41</w:t>
            </w:r>
            <w:r>
              <w:rPr>
                <w:rFonts w:hint="eastAsia" w:ascii="仿宋_GB2312" w:eastAsia="仿宋_GB2312" w:cs="Arial Narrow"/>
                <w:b/>
                <w:bCs/>
                <w:sz w:val="21"/>
                <w:szCs w:val="21"/>
              </w:rPr>
              <w:fldChar w:fldCharType="end"/>
            </w:r>
          </w:p>
        </w:tc>
        <w:tc>
          <w:tcPr>
            <w:tcW w:w="1978"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300" w:lineRule="exact"/>
              <w:jc w:val="center"/>
              <w:rPr>
                <w:rFonts w:ascii="仿宋_GB2312" w:eastAsia="仿宋_GB2312" w:cs="Arial Narrow"/>
                <w:b/>
                <w:bCs/>
                <w:sz w:val="21"/>
                <w:szCs w:val="21"/>
              </w:rPr>
            </w:pPr>
            <w:r>
              <w:rPr>
                <w:rFonts w:hint="eastAsia" w:ascii="仿宋_GB2312" w:eastAsia="仿宋_GB2312" w:cs="Arial Narrow"/>
                <w:b/>
                <w:bCs/>
                <w:sz w:val="21"/>
                <w:szCs w:val="21"/>
              </w:rPr>
              <w:fldChar w:fldCharType="begin"/>
            </w:r>
            <w:r>
              <w:rPr>
                <w:rFonts w:hint="eastAsia" w:ascii="仿宋_GB2312" w:eastAsia="仿宋_GB2312" w:cs="Arial Narrow"/>
                <w:b/>
                <w:bCs/>
                <w:sz w:val="21"/>
                <w:szCs w:val="21"/>
              </w:rPr>
              <w:instrText xml:space="preserve"> =SUM(ABOVE) </w:instrText>
            </w:r>
            <w:r>
              <w:rPr>
                <w:rFonts w:hint="eastAsia" w:ascii="仿宋_GB2312" w:eastAsia="仿宋_GB2312" w:cs="Arial Narrow"/>
                <w:b/>
                <w:bCs/>
                <w:sz w:val="21"/>
                <w:szCs w:val="21"/>
              </w:rPr>
              <w:fldChar w:fldCharType="separate"/>
            </w:r>
            <w:r>
              <w:rPr>
                <w:rFonts w:hint="eastAsia" w:ascii="仿宋_GB2312" w:eastAsia="仿宋_GB2312" w:cs="Arial Narrow"/>
                <w:b/>
                <w:bCs/>
                <w:sz w:val="21"/>
                <w:szCs w:val="21"/>
              </w:rPr>
              <w:t>442,968,176.04</w:t>
            </w:r>
            <w:r>
              <w:rPr>
                <w:rFonts w:hint="eastAsia" w:ascii="仿宋_GB2312" w:eastAsia="仿宋_GB2312" w:cs="Arial Narrow"/>
                <w:b/>
                <w:bCs/>
                <w:sz w:val="21"/>
                <w:szCs w:val="21"/>
              </w:rPr>
              <w:fldChar w:fldCharType="end"/>
            </w:r>
          </w:p>
        </w:tc>
        <w:tc>
          <w:tcPr>
            <w:tcW w:w="206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300" w:lineRule="exact"/>
              <w:jc w:val="center"/>
              <w:rPr>
                <w:rFonts w:ascii="仿宋_GB2312" w:eastAsia="仿宋_GB2312" w:cs="Arial Narrow"/>
                <w:b/>
                <w:bCs/>
                <w:sz w:val="21"/>
                <w:szCs w:val="21"/>
              </w:rPr>
            </w:pPr>
            <w:r>
              <w:rPr>
                <w:rFonts w:hint="eastAsia" w:ascii="仿宋_GB2312" w:eastAsia="仿宋_GB2312" w:cs="Arial Narrow"/>
                <w:b/>
                <w:bCs/>
                <w:sz w:val="21"/>
                <w:szCs w:val="21"/>
              </w:rPr>
              <w:fldChar w:fldCharType="begin"/>
            </w:r>
            <w:r>
              <w:rPr>
                <w:rFonts w:hint="eastAsia" w:ascii="仿宋_GB2312" w:eastAsia="仿宋_GB2312" w:cs="Arial Narrow"/>
                <w:b/>
                <w:bCs/>
                <w:sz w:val="21"/>
                <w:szCs w:val="21"/>
              </w:rPr>
              <w:instrText xml:space="preserve"> =SUM(ABOVE) </w:instrText>
            </w:r>
            <w:r>
              <w:rPr>
                <w:rFonts w:hint="eastAsia" w:ascii="仿宋_GB2312" w:eastAsia="仿宋_GB2312" w:cs="Arial Narrow"/>
                <w:b/>
                <w:bCs/>
                <w:sz w:val="21"/>
                <w:szCs w:val="21"/>
              </w:rPr>
              <w:fldChar w:fldCharType="separate"/>
            </w:r>
            <w:r>
              <w:rPr>
                <w:rFonts w:hint="eastAsia" w:ascii="仿宋_GB2312" w:eastAsia="仿宋_GB2312" w:cs="Arial Narrow"/>
                <w:b/>
                <w:bCs/>
                <w:sz w:val="21"/>
                <w:szCs w:val="21"/>
              </w:rPr>
              <w:t>122,610,189.88</w:t>
            </w:r>
            <w:r>
              <w:rPr>
                <w:rFonts w:hint="eastAsia" w:ascii="仿宋_GB2312" w:eastAsia="仿宋_GB2312" w:cs="Arial Narrow"/>
                <w:b/>
                <w:bCs/>
                <w:sz w:val="21"/>
                <w:szCs w:val="21"/>
              </w:rPr>
              <w:fldChar w:fldCharType="end"/>
            </w:r>
          </w:p>
        </w:tc>
      </w:tr>
    </w:tbl>
    <w:p>
      <w:pPr>
        <w:widowControl w:val="0"/>
        <w:tabs>
          <w:tab w:val="left" w:pos="567"/>
        </w:tabs>
        <w:spacing w:line="580" w:lineRule="exact"/>
        <w:ind w:firstLine="643" w:firstLineChars="200"/>
        <w:jc w:val="both"/>
        <w:rPr>
          <w:rFonts w:ascii="仿宋_GB2312" w:eastAsia="仿宋_GB2312"/>
          <w:b/>
          <w:bCs/>
          <w:sz w:val="32"/>
          <w:szCs w:val="32"/>
        </w:rPr>
      </w:pPr>
      <w:r>
        <w:rPr>
          <w:rFonts w:hint="eastAsia" w:ascii="仿宋_GB2312" w:eastAsia="仿宋_GB2312"/>
          <w:b/>
          <w:bCs/>
          <w:sz w:val="32"/>
          <w:szCs w:val="32"/>
        </w:rPr>
        <w:t>二、综合评价情况及评价结论</w:t>
      </w:r>
    </w:p>
    <w:p>
      <w:pPr>
        <w:spacing w:line="580" w:lineRule="exact"/>
        <w:ind w:firstLine="643" w:firstLineChars="200"/>
        <w:jc w:val="both"/>
        <w:rPr>
          <w:rFonts w:ascii="仿宋_GB2312" w:eastAsia="仿宋_GB2312"/>
          <w:b/>
          <w:bCs/>
          <w:sz w:val="32"/>
          <w:szCs w:val="32"/>
        </w:rPr>
      </w:pPr>
      <w:r>
        <w:rPr>
          <w:rFonts w:hint="eastAsia" w:ascii="仿宋_GB2312" w:eastAsia="仿宋_GB2312"/>
          <w:b/>
          <w:bCs/>
          <w:sz w:val="32"/>
          <w:szCs w:val="32"/>
        </w:rPr>
        <w:t>（一）评价结论</w:t>
      </w:r>
    </w:p>
    <w:p>
      <w:pPr>
        <w:spacing w:line="580" w:lineRule="exact"/>
        <w:ind w:firstLine="640" w:firstLineChars="200"/>
        <w:jc w:val="both"/>
        <w:rPr>
          <w:rFonts w:ascii="仿宋_GB2312" w:eastAsia="仿宋_GB2312" w:cs="Arial Narrow"/>
          <w:sz w:val="32"/>
          <w:szCs w:val="32"/>
        </w:rPr>
      </w:pPr>
      <w:r>
        <w:rPr>
          <w:rFonts w:hint="eastAsia" w:ascii="仿宋_GB2312" w:eastAsia="仿宋_GB2312" w:cs="Arial Narrow"/>
          <w:sz w:val="32"/>
          <w:szCs w:val="32"/>
        </w:rPr>
        <w:t>经综合评价与分析，本项目绩效评价综合得分为92分，绩效评价等级为“优”。其中，项目决策类指标权重为</w:t>
      </w:r>
      <w:r>
        <w:rPr>
          <w:rFonts w:ascii="仿宋_GB2312" w:eastAsia="仿宋_GB2312" w:cs="Arial Narrow"/>
          <w:sz w:val="32"/>
          <w:szCs w:val="32"/>
        </w:rPr>
        <w:t>20</w:t>
      </w:r>
      <w:r>
        <w:rPr>
          <w:rFonts w:hint="eastAsia" w:ascii="仿宋_GB2312" w:eastAsia="仿宋_GB2312" w:cs="Arial Narrow"/>
          <w:sz w:val="32"/>
          <w:szCs w:val="32"/>
        </w:rPr>
        <w:t>分，得分为1</w:t>
      </w:r>
      <w:r>
        <w:rPr>
          <w:rFonts w:ascii="仿宋_GB2312" w:eastAsia="仿宋_GB2312" w:cs="Arial Narrow"/>
          <w:sz w:val="32"/>
          <w:szCs w:val="32"/>
        </w:rPr>
        <w:t>7</w:t>
      </w:r>
      <w:r>
        <w:rPr>
          <w:rFonts w:hint="eastAsia" w:ascii="仿宋_GB2312" w:eastAsia="仿宋_GB2312" w:cs="Arial Narrow"/>
          <w:sz w:val="32"/>
          <w:szCs w:val="32"/>
        </w:rPr>
        <w:t>分；项目管理类指标权重为</w:t>
      </w:r>
      <w:r>
        <w:rPr>
          <w:rFonts w:ascii="仿宋_GB2312" w:eastAsia="仿宋_GB2312" w:cs="Arial Narrow"/>
          <w:sz w:val="32"/>
          <w:szCs w:val="32"/>
        </w:rPr>
        <w:t>20</w:t>
      </w:r>
      <w:r>
        <w:rPr>
          <w:rFonts w:hint="eastAsia" w:ascii="仿宋_GB2312" w:eastAsia="仿宋_GB2312" w:cs="Arial Narrow"/>
          <w:sz w:val="32"/>
          <w:szCs w:val="32"/>
        </w:rPr>
        <w:t>分，得分为</w:t>
      </w:r>
      <w:r>
        <w:rPr>
          <w:rFonts w:ascii="仿宋_GB2312" w:eastAsia="仿宋_GB2312" w:cs="Arial Narrow"/>
          <w:sz w:val="32"/>
          <w:szCs w:val="32"/>
        </w:rPr>
        <w:t>17</w:t>
      </w:r>
      <w:r>
        <w:rPr>
          <w:rFonts w:hint="eastAsia" w:ascii="仿宋_GB2312" w:eastAsia="仿宋_GB2312" w:cs="Arial Narrow"/>
          <w:sz w:val="32"/>
          <w:szCs w:val="32"/>
        </w:rPr>
        <w:t>分；项目产出类指标权重为</w:t>
      </w:r>
      <w:r>
        <w:rPr>
          <w:rFonts w:ascii="仿宋_GB2312" w:eastAsia="仿宋_GB2312" w:cs="Arial Narrow"/>
          <w:sz w:val="32"/>
          <w:szCs w:val="32"/>
        </w:rPr>
        <w:t>30</w:t>
      </w:r>
      <w:r>
        <w:rPr>
          <w:rFonts w:hint="eastAsia" w:ascii="仿宋_GB2312" w:eastAsia="仿宋_GB2312" w:cs="Arial Narrow"/>
          <w:sz w:val="32"/>
          <w:szCs w:val="32"/>
        </w:rPr>
        <w:t>分，得分为28分；项目效益类指标权重为</w:t>
      </w:r>
      <w:r>
        <w:rPr>
          <w:rFonts w:ascii="仿宋_GB2312" w:eastAsia="仿宋_GB2312" w:cs="Arial Narrow"/>
          <w:sz w:val="32"/>
          <w:szCs w:val="32"/>
        </w:rPr>
        <w:t>30</w:t>
      </w:r>
      <w:r>
        <w:rPr>
          <w:rFonts w:hint="eastAsia" w:ascii="仿宋_GB2312" w:eastAsia="仿宋_GB2312" w:cs="Arial Narrow"/>
          <w:sz w:val="32"/>
          <w:szCs w:val="32"/>
        </w:rPr>
        <w:t>分，得分为</w:t>
      </w:r>
      <w:r>
        <w:rPr>
          <w:rFonts w:ascii="仿宋_GB2312" w:eastAsia="仿宋_GB2312" w:cs="Arial Narrow"/>
          <w:sz w:val="32"/>
          <w:szCs w:val="32"/>
        </w:rPr>
        <w:t>30</w:t>
      </w:r>
      <w:r>
        <w:rPr>
          <w:rFonts w:hint="eastAsia" w:ascii="仿宋_GB2312" w:eastAsia="仿宋_GB2312" w:cs="Arial Narrow"/>
          <w:sz w:val="32"/>
          <w:szCs w:val="32"/>
        </w:rPr>
        <w:t>分。</w:t>
      </w:r>
    </w:p>
    <w:p>
      <w:pPr>
        <w:widowControl w:val="0"/>
        <w:spacing w:line="580" w:lineRule="exact"/>
        <w:ind w:firstLine="643" w:firstLineChars="200"/>
        <w:jc w:val="both"/>
        <w:rPr>
          <w:rFonts w:ascii="仿宋_GB2312" w:eastAsia="仿宋_GB2312" w:cs="Arial Narrow"/>
          <w:b/>
          <w:bCs/>
          <w:sz w:val="32"/>
          <w:szCs w:val="32"/>
        </w:rPr>
      </w:pPr>
      <w:r>
        <w:rPr>
          <w:rFonts w:hint="eastAsia" w:ascii="仿宋_GB2312" w:eastAsia="仿宋_GB2312"/>
          <w:b/>
          <w:bCs/>
          <w:sz w:val="32"/>
          <w:szCs w:val="32"/>
        </w:rPr>
        <w:t>（二）</w:t>
      </w:r>
      <w:r>
        <w:rPr>
          <w:rFonts w:hint="eastAsia" w:ascii="仿宋_GB2312" w:eastAsia="仿宋_GB2312" w:cs="Arial Narrow"/>
          <w:b/>
          <w:bCs/>
          <w:sz w:val="32"/>
          <w:szCs w:val="32"/>
        </w:rPr>
        <w:t>主要绩效</w:t>
      </w:r>
    </w:p>
    <w:p>
      <w:pPr>
        <w:widowControl w:val="0"/>
        <w:spacing w:line="580" w:lineRule="exact"/>
        <w:ind w:firstLine="640"/>
        <w:jc w:val="both"/>
        <w:rPr>
          <w:rFonts w:ascii="仿宋_GB2312" w:eastAsia="仿宋_GB2312" w:cs="Arial Narrow"/>
          <w:sz w:val="32"/>
          <w:szCs w:val="32"/>
        </w:rPr>
      </w:pPr>
      <w:r>
        <w:rPr>
          <w:rFonts w:hint="eastAsia" w:ascii="仿宋_GB2312" w:eastAsia="仿宋_GB2312" w:cs="Arial Narrow"/>
          <w:sz w:val="32"/>
          <w:szCs w:val="32"/>
        </w:rPr>
        <w:t>太保公司自承办城乡居民大病保险业务以来，根据行政区划，分别在9个县区设立大病保险服务网点，开设大病保险服务窗口，并配备包括医学、金融、财务、计算机等专业服务人员，为参保人提供一站式结算服务。太保公司下设综合内勤岗、业务初审、理赔复核、医疗审核、稽核调查、电话回访、档案管理等岗位，负责业务受理、结算、审核、调查、回访、档案整理等工作。</w:t>
      </w:r>
    </w:p>
    <w:p>
      <w:pPr>
        <w:widowControl w:val="0"/>
        <w:spacing w:line="580" w:lineRule="exact"/>
        <w:ind w:firstLine="640"/>
        <w:jc w:val="both"/>
        <w:rPr>
          <w:rFonts w:ascii="仿宋_GB2312" w:eastAsia="仿宋_GB2312" w:cs="Arial Narrow"/>
          <w:sz w:val="32"/>
          <w:szCs w:val="32"/>
        </w:rPr>
      </w:pPr>
      <w:r>
        <w:rPr>
          <w:rFonts w:hint="eastAsia" w:ascii="仿宋_GB2312" w:eastAsia="仿宋_GB2312" w:cs="Arial Narrow"/>
          <w:sz w:val="32"/>
          <w:szCs w:val="32"/>
        </w:rPr>
        <w:t>本着便民、高效原则，大病保险与基本医疗实现一站式结算，2021年5月，城乡居民基本医保系统切换为国家医疗保障信息平台，系统切换后太保公司配合进行系统对接测试，并再次实现系统对接，实现了信息共享，使理赔更高效、快捷。</w:t>
      </w:r>
    </w:p>
    <w:p>
      <w:pPr>
        <w:widowControl w:val="0"/>
        <w:spacing w:line="580" w:lineRule="exact"/>
        <w:ind w:firstLine="640"/>
        <w:jc w:val="both"/>
        <w:rPr>
          <w:rFonts w:ascii="仿宋_GB2312" w:eastAsia="仿宋_GB2312" w:cs="Arial Narrow"/>
          <w:sz w:val="32"/>
          <w:szCs w:val="32"/>
        </w:rPr>
      </w:pPr>
      <w:r>
        <w:rPr>
          <w:rFonts w:hint="eastAsia" w:ascii="仿宋_GB2312" w:eastAsia="仿宋_GB2312" w:cs="Arial Narrow"/>
          <w:sz w:val="32"/>
          <w:szCs w:val="32"/>
        </w:rPr>
        <w:t>为全面提升服务人员素质及业务技能，太保公司不定期开展政策文件、业务知识等方面的培训，并开展知识竞赛。</w:t>
      </w:r>
    </w:p>
    <w:p>
      <w:pPr>
        <w:widowControl w:val="0"/>
        <w:spacing w:line="580" w:lineRule="exact"/>
        <w:ind w:firstLine="640" w:firstLineChars="200"/>
        <w:jc w:val="both"/>
        <w:rPr>
          <w:rFonts w:ascii="仿宋_GB2312" w:eastAsia="仿宋_GB2312" w:cs="Arial Narrow"/>
          <w:sz w:val="32"/>
          <w:szCs w:val="32"/>
        </w:rPr>
      </w:pPr>
      <w:r>
        <w:rPr>
          <w:rFonts w:hint="eastAsia" w:ascii="仿宋_GB2312" w:eastAsia="仿宋_GB2312" w:cs="Arial Narrow"/>
          <w:sz w:val="32"/>
          <w:szCs w:val="32"/>
        </w:rPr>
        <w:t>自2021年4月5日医疗保障电话咨询服务中心试运行以来，截止2021年12月31日累计接待热线电话153392人次，医保热线话务人员积极回应全市广大群众咨询需求，专业化电话咨询服务机构的建立实现了窗口经办和电话咨询服务质量“双优化、双提升”。</w:t>
      </w:r>
    </w:p>
    <w:p>
      <w:pPr>
        <w:widowControl w:val="0"/>
        <w:spacing w:line="580" w:lineRule="exact"/>
        <w:ind w:firstLine="640"/>
        <w:jc w:val="both"/>
        <w:rPr>
          <w:rFonts w:ascii="仿宋_GB2312" w:eastAsia="仿宋_GB2312" w:cs="Arial Narrow"/>
          <w:sz w:val="32"/>
          <w:szCs w:val="32"/>
        </w:rPr>
      </w:pPr>
      <w:r>
        <w:rPr>
          <w:rFonts w:hint="eastAsia" w:ascii="仿宋_GB2312" w:eastAsia="仿宋_GB2312" w:cs="Arial Narrow"/>
          <w:sz w:val="32"/>
          <w:szCs w:val="32"/>
        </w:rPr>
        <w:t>因政策调整、医疗费用的自然增长及通胀率的不确定性、疫情都会对城乡居民大病保险项目资金运行带来风险，太保公司于各年度终了时，对当年城乡居民大病保险项目撰写分析报告，对承保情况、赔付支出情况、政策变化情况做出总结，同时对下年度城乡居民大病保险项目预估赔付情况做出预测，合理预估风险，起到防患于未然的作用。</w:t>
      </w:r>
    </w:p>
    <w:p>
      <w:pPr>
        <w:widowControl w:val="0"/>
        <w:spacing w:line="580" w:lineRule="exact"/>
        <w:ind w:firstLine="640" w:firstLineChars="200"/>
        <w:jc w:val="both"/>
        <w:rPr>
          <w:rFonts w:ascii="仿宋_GB2312" w:eastAsia="仿宋_GB2312" w:cs="Arial Narrow"/>
          <w:sz w:val="32"/>
          <w:szCs w:val="32"/>
        </w:rPr>
      </w:pPr>
      <w:r>
        <w:rPr>
          <w:rFonts w:hint="eastAsia" w:ascii="仿宋_GB2312" w:eastAsia="仿宋_GB2312" w:cs="Arial Narrow"/>
          <w:sz w:val="32"/>
          <w:szCs w:val="32"/>
        </w:rPr>
        <w:t>截至评价时点，中国太平洋人寿保险股份有限公司秦皇岛中心支公司根据城乡居民大病申报情况，已为全市198094人次按规定支付了大病保险金。在较大程度上避免我市城乡居民因疾病陷入经济困境，基本解决了群众反映强烈的"因病致贫、因病返贫"问题。项目实施对完善城乡居民医疗保障制度、健全多层次医疗保障体系、提高我市城乡居民重特大疾病保障水平发挥了积极作用。</w:t>
      </w:r>
    </w:p>
    <w:p>
      <w:pPr>
        <w:widowControl w:val="0"/>
        <w:spacing w:line="580" w:lineRule="exact"/>
        <w:ind w:firstLine="643" w:firstLineChars="200"/>
        <w:jc w:val="both"/>
        <w:rPr>
          <w:rFonts w:ascii="仿宋_GB2312" w:eastAsia="仿宋_GB2312" w:cs="Arial Narrow"/>
          <w:b/>
          <w:sz w:val="32"/>
          <w:szCs w:val="32"/>
        </w:rPr>
      </w:pPr>
      <w:bookmarkStart w:id="0" w:name="_Hlk80199611"/>
      <w:r>
        <w:rPr>
          <w:rFonts w:hint="eastAsia" w:ascii="仿宋_GB2312" w:eastAsia="仿宋_GB2312" w:cs="Arial Narrow"/>
          <w:b/>
          <w:sz w:val="32"/>
          <w:szCs w:val="32"/>
        </w:rPr>
        <w:t>四、项目存在的主要问题</w:t>
      </w:r>
    </w:p>
    <w:p>
      <w:pPr>
        <w:widowControl w:val="0"/>
        <w:spacing w:line="580" w:lineRule="exact"/>
        <w:ind w:firstLine="710" w:firstLineChars="221"/>
        <w:jc w:val="both"/>
        <w:rPr>
          <w:rFonts w:ascii="仿宋_GB2312" w:eastAsia="仿宋_GB2312" w:cs="Arial Narrow"/>
          <w:b/>
          <w:sz w:val="32"/>
          <w:szCs w:val="32"/>
        </w:rPr>
      </w:pPr>
      <w:r>
        <w:rPr>
          <w:rFonts w:hint="eastAsia" w:ascii="仿宋_GB2312" w:eastAsia="仿宋_GB2312" w:cs="Arial Narrow"/>
          <w:b/>
          <w:sz w:val="32"/>
          <w:szCs w:val="32"/>
        </w:rPr>
        <w:t>（一）项目绩效管理有待加强</w:t>
      </w:r>
    </w:p>
    <w:p>
      <w:pPr>
        <w:widowControl w:val="0"/>
        <w:spacing w:line="580" w:lineRule="exact"/>
        <w:ind w:firstLine="707" w:firstLineChars="221"/>
        <w:jc w:val="both"/>
        <w:rPr>
          <w:rFonts w:ascii="仿宋_GB2312" w:eastAsia="仿宋_GB2312" w:cs="Arial Narrow"/>
          <w:sz w:val="32"/>
          <w:szCs w:val="32"/>
        </w:rPr>
      </w:pPr>
      <w:r>
        <w:rPr>
          <w:rFonts w:hint="eastAsia" w:ascii="仿宋_GB2312" w:eastAsia="仿宋_GB2312" w:cs="Arial Narrow"/>
          <w:bCs/>
          <w:sz w:val="32"/>
          <w:szCs w:val="32"/>
        </w:rPr>
        <w:t>根据社会保险基金预算绩效管理办法，应将绩效目标设置作为社会保险基金预算安排的前置条件。绩效目标管理是全过程绩效管理的基础，在整个绩效管理中处于龙头地位。</w:t>
      </w:r>
    </w:p>
    <w:p>
      <w:pPr>
        <w:widowControl w:val="0"/>
        <w:spacing w:line="580" w:lineRule="exact"/>
        <w:ind w:firstLine="707" w:firstLineChars="221"/>
        <w:jc w:val="both"/>
        <w:rPr>
          <w:rFonts w:ascii="仿宋_GB2312" w:eastAsia="仿宋_GB2312" w:cs="Arial Narrow"/>
          <w:bCs/>
          <w:sz w:val="32"/>
          <w:szCs w:val="32"/>
        </w:rPr>
      </w:pPr>
      <w:r>
        <w:rPr>
          <w:rFonts w:hint="eastAsia" w:ascii="仿宋_GB2312" w:eastAsia="仿宋_GB2312" w:cs="Arial Narrow"/>
          <w:bCs/>
          <w:sz w:val="32"/>
          <w:szCs w:val="32"/>
        </w:rPr>
        <w:t>绩效指标是绩效目标的分解和细化，是衡量绩效目标实现程度的具体工具，应采取定量与定性相结合的方式设定，涵盖决策、过程、产出、效益等方面。绩效指标选取应遵循可取、可比、可测、可用原则。</w:t>
      </w:r>
    </w:p>
    <w:p>
      <w:pPr>
        <w:widowControl w:val="0"/>
        <w:spacing w:line="580" w:lineRule="exact"/>
        <w:ind w:firstLine="640" w:firstLineChars="200"/>
        <w:jc w:val="both"/>
        <w:rPr>
          <w:rFonts w:ascii="仿宋_GB2312" w:eastAsia="仿宋_GB2312" w:cs="Arial Narrow"/>
          <w:bCs/>
          <w:sz w:val="32"/>
          <w:szCs w:val="32"/>
        </w:rPr>
      </w:pPr>
      <w:r>
        <w:rPr>
          <w:rFonts w:hint="eastAsia" w:ascii="仿宋_GB2312" w:eastAsia="仿宋_GB2312" w:cs="Arial Narrow"/>
          <w:bCs/>
          <w:sz w:val="32"/>
          <w:szCs w:val="32"/>
        </w:rPr>
        <w:t>依据太保公司提供的城乡居民大病保险项目绩效评价指标表，未能对各项指标设定指标值，故设定的绩效指标体系未能在项目执行及项目绩效衡量、评价方面提供支撑。</w:t>
      </w:r>
    </w:p>
    <w:p>
      <w:pPr>
        <w:widowControl w:val="0"/>
        <w:spacing w:line="580" w:lineRule="exact"/>
        <w:ind w:firstLine="710" w:firstLineChars="221"/>
        <w:jc w:val="both"/>
        <w:rPr>
          <w:rFonts w:ascii="仿宋_GB2312" w:eastAsia="仿宋_GB2312" w:cs="Arial Narrow"/>
          <w:b/>
          <w:sz w:val="32"/>
          <w:szCs w:val="32"/>
        </w:rPr>
      </w:pPr>
      <w:r>
        <w:rPr>
          <w:rFonts w:hint="eastAsia" w:ascii="仿宋_GB2312" w:eastAsia="仿宋_GB2312" w:cs="Arial Narrow"/>
          <w:b/>
          <w:sz w:val="32"/>
          <w:szCs w:val="32"/>
        </w:rPr>
        <w:t>（二）项目管理不够完善</w:t>
      </w:r>
    </w:p>
    <w:p>
      <w:pPr>
        <w:widowControl w:val="0"/>
        <w:spacing w:line="580" w:lineRule="exact"/>
        <w:ind w:firstLine="707" w:firstLineChars="221"/>
        <w:jc w:val="both"/>
        <w:rPr>
          <w:rFonts w:ascii="仿宋_GB2312" w:eastAsia="仿宋_GB2312" w:cs="Arial Narrow"/>
          <w:sz w:val="32"/>
          <w:szCs w:val="32"/>
        </w:rPr>
      </w:pPr>
      <w:r>
        <w:rPr>
          <w:rFonts w:hint="eastAsia" w:ascii="仿宋_GB2312" w:eastAsia="仿宋_GB2312" w:cs="Arial Narrow"/>
          <w:sz w:val="32"/>
          <w:szCs w:val="32"/>
        </w:rPr>
        <w:t>1、项目采购招标工作及资金拨付时间相对滞后</w:t>
      </w:r>
    </w:p>
    <w:p>
      <w:pPr>
        <w:widowControl w:val="0"/>
        <w:spacing w:line="580" w:lineRule="exact"/>
        <w:ind w:firstLine="707" w:firstLineChars="221"/>
        <w:jc w:val="both"/>
        <w:rPr>
          <w:rFonts w:ascii="仿宋_GB2312" w:eastAsia="仿宋_GB2312" w:cs="Arial Narrow"/>
          <w:sz w:val="32"/>
          <w:szCs w:val="32"/>
        </w:rPr>
      </w:pPr>
      <w:r>
        <w:rPr>
          <w:rFonts w:hint="eastAsia" w:ascii="仿宋_GB2312" w:eastAsia="仿宋_GB2312" w:cs="Arial Narrow"/>
          <w:sz w:val="32"/>
          <w:szCs w:val="32"/>
        </w:rPr>
        <w:t xml:space="preserve">根据秦皇岛市医疗保障局与太保公司签订的《秦皇岛市城乡居民大病保险项目协议书》，该项目委托期限为三年，保险期间为2020年1月1日至2022年12月31日。成交通知书日期为2020年1月21日，协议签约日期为2020年2月17日，均晚于保险承保的起始时点。 </w:t>
      </w:r>
    </w:p>
    <w:p>
      <w:pPr>
        <w:widowControl w:val="0"/>
        <w:spacing w:line="580" w:lineRule="exact"/>
        <w:ind w:firstLine="707" w:firstLineChars="221"/>
        <w:jc w:val="both"/>
        <w:rPr>
          <w:rFonts w:ascii="仿宋_GB2312" w:eastAsia="仿宋_GB2312" w:cs="Arial Narrow"/>
          <w:sz w:val="32"/>
          <w:szCs w:val="32"/>
        </w:rPr>
      </w:pPr>
      <w:r>
        <w:rPr>
          <w:rFonts w:hint="eastAsia" w:ascii="仿宋_GB2312" w:eastAsia="仿宋_GB2312" w:cs="Arial Narrow"/>
          <w:sz w:val="32"/>
          <w:szCs w:val="32"/>
        </w:rPr>
        <w:t>根据协议约定，市医保中心应在每年3月底前向太保公司拨付资金，2020、2021年度首次拨款时间分别为2020年4月、2021年8月。拨款时点晚于协议约定时点。</w:t>
      </w:r>
    </w:p>
    <w:p>
      <w:pPr>
        <w:widowControl w:val="0"/>
        <w:spacing w:line="580" w:lineRule="exact"/>
        <w:ind w:firstLine="707" w:firstLineChars="221"/>
        <w:jc w:val="both"/>
        <w:rPr>
          <w:rFonts w:ascii="仿宋_GB2312" w:eastAsia="仿宋_GB2312" w:cs="Arial Narrow"/>
          <w:sz w:val="32"/>
          <w:szCs w:val="32"/>
        </w:rPr>
      </w:pPr>
      <w:r>
        <w:rPr>
          <w:rFonts w:hint="eastAsia" w:ascii="仿宋_GB2312" w:eastAsia="仿宋_GB2312" w:cs="Arial Narrow"/>
          <w:sz w:val="32"/>
          <w:szCs w:val="32"/>
        </w:rPr>
        <w:t>2、2021年度城乡居民大病保险尚未完成资金结算工作</w:t>
      </w:r>
    </w:p>
    <w:p>
      <w:pPr>
        <w:widowControl w:val="0"/>
        <w:spacing w:line="580" w:lineRule="exact"/>
        <w:ind w:firstLine="707" w:firstLineChars="221"/>
        <w:jc w:val="both"/>
        <w:rPr>
          <w:rFonts w:hint="eastAsia" w:ascii="仿宋_GB2312" w:eastAsia="仿宋_GB2312" w:cs="Arial Narrow"/>
          <w:sz w:val="32"/>
          <w:szCs w:val="32"/>
        </w:rPr>
      </w:pPr>
      <w:r>
        <w:rPr>
          <w:rFonts w:hint="eastAsia" w:ascii="仿宋_GB2312" w:eastAsia="仿宋_GB2312" w:cs="Arial Narrow"/>
          <w:sz w:val="32"/>
          <w:szCs w:val="32"/>
        </w:rPr>
        <w:t>依据《秦皇岛市商业保险机构经办医疗保险工作考核办法（试行）》规定，秦皇岛市医疗保障局对商业保险经办机构进行绩效考核，该考核结果决定预留保证金是否全额拨付。</w:t>
      </w:r>
    </w:p>
    <w:p>
      <w:pPr>
        <w:widowControl w:val="0"/>
        <w:spacing w:line="580" w:lineRule="exact"/>
        <w:ind w:firstLine="707" w:firstLineChars="221"/>
        <w:jc w:val="both"/>
        <w:rPr>
          <w:rFonts w:hint="eastAsia" w:ascii="仿宋_GB2312" w:eastAsia="仿宋_GB2312" w:cs="Arial Narrow"/>
          <w:sz w:val="32"/>
          <w:szCs w:val="32"/>
        </w:rPr>
      </w:pPr>
      <w:r>
        <w:rPr>
          <w:rFonts w:hint="eastAsia" w:ascii="仿宋_GB2312" w:eastAsia="仿宋_GB2312" w:cs="Arial Narrow"/>
          <w:sz w:val="32"/>
          <w:szCs w:val="32"/>
        </w:rPr>
        <w:t>2020年度秦皇岛市医疗保障局对太保公司考核结果为未能定期开展本市定点医疗机构的巡查工作，市长热线投诉案件4起，均已处理完毕。2021年度秦皇岛市医疗保障局对太保公司考核结果为太保公司异地核查记录不详细，调查时间及被调查方电话记录不全，咨询服务和满意度调查制度有待。</w:t>
      </w:r>
    </w:p>
    <w:p>
      <w:pPr>
        <w:widowControl w:val="0"/>
        <w:spacing w:line="580" w:lineRule="exact"/>
        <w:ind w:firstLine="707" w:firstLineChars="221"/>
        <w:jc w:val="both"/>
        <w:rPr>
          <w:rFonts w:hint="eastAsia" w:ascii="仿宋_GB2312" w:eastAsia="仿宋_GB2312" w:cs="Arial Narrow"/>
          <w:sz w:val="32"/>
          <w:szCs w:val="32"/>
        </w:rPr>
      </w:pPr>
      <w:r>
        <w:rPr>
          <w:rFonts w:hint="eastAsia" w:ascii="仿宋_GB2312" w:eastAsia="仿宋_GB2312" w:cs="Arial Narrow"/>
          <w:sz w:val="32"/>
          <w:szCs w:val="32"/>
        </w:rPr>
        <w:t>评价过程中，我们对2017 -2021历年投保、赔付及资金结余、返还情况进行了解，历年资金结算存在滞后现象。截至评价日，双方暂未对2021年度项目资金完成相应结算工作。</w:t>
      </w:r>
    </w:p>
    <w:p>
      <w:pPr>
        <w:widowControl w:val="0"/>
        <w:spacing w:line="580" w:lineRule="exact"/>
        <w:ind w:firstLine="707" w:firstLineChars="221"/>
        <w:jc w:val="both"/>
        <w:rPr>
          <w:rFonts w:hint="eastAsia" w:ascii="仿宋_GB2312" w:eastAsia="仿宋_GB2312" w:cs="Arial Narrow"/>
          <w:sz w:val="32"/>
          <w:szCs w:val="32"/>
        </w:rPr>
      </w:pPr>
      <w:r>
        <w:rPr>
          <w:rFonts w:hint="eastAsia" w:ascii="仿宋_GB2312" w:eastAsia="仿宋_GB2312" w:cs="Arial Narrow"/>
          <w:sz w:val="32"/>
          <w:szCs w:val="32"/>
        </w:rPr>
        <w:t>综上，秦皇岛市医疗保障局与太保公司签订的协议中未对资金清算时点予以明确，且项目在执行中未能制定年度工作实施方案，年度任务目标、工作要求、职责分工、结算方式、时间节点等事项未能进行有效明确和规范。相关协议、实施方案有待进一步健全完善，以确保项目顺利执行。</w:t>
      </w:r>
    </w:p>
    <w:p>
      <w:pPr>
        <w:widowControl w:val="0"/>
        <w:spacing w:line="580" w:lineRule="exact"/>
        <w:ind w:firstLine="643" w:firstLineChars="200"/>
        <w:jc w:val="both"/>
        <w:rPr>
          <w:rFonts w:ascii="仿宋_GB2312" w:eastAsia="仿宋_GB2312" w:cs="Arial Narrow"/>
          <w:b/>
          <w:sz w:val="32"/>
          <w:szCs w:val="32"/>
        </w:rPr>
      </w:pPr>
      <w:r>
        <w:rPr>
          <w:rFonts w:hint="eastAsia" w:ascii="仿宋_GB2312" w:eastAsia="仿宋_GB2312" w:cs="Arial Narrow"/>
          <w:b/>
          <w:sz w:val="32"/>
          <w:szCs w:val="32"/>
        </w:rPr>
        <w:t>五、相关建议</w:t>
      </w:r>
      <w:bookmarkEnd w:id="0"/>
    </w:p>
    <w:p>
      <w:pPr>
        <w:widowControl w:val="0"/>
        <w:spacing w:line="580" w:lineRule="exact"/>
        <w:ind w:firstLine="710" w:firstLineChars="221"/>
        <w:jc w:val="both"/>
        <w:rPr>
          <w:rFonts w:ascii="仿宋_GB2312" w:eastAsia="仿宋_GB2312" w:cs="Arial Narrow"/>
          <w:b/>
          <w:sz w:val="32"/>
          <w:szCs w:val="32"/>
        </w:rPr>
      </w:pPr>
      <w:r>
        <w:rPr>
          <w:rFonts w:hint="eastAsia" w:ascii="仿宋_GB2312" w:eastAsia="仿宋_GB2312" w:cs="Arial Narrow"/>
          <w:b/>
          <w:sz w:val="32"/>
          <w:szCs w:val="32"/>
        </w:rPr>
        <w:t>（一）结合项目实际，考虑是否有必要对拨款进度进行调整</w:t>
      </w:r>
    </w:p>
    <w:p>
      <w:pPr>
        <w:widowControl w:val="0"/>
        <w:spacing w:line="580" w:lineRule="exact"/>
        <w:ind w:firstLine="707" w:firstLineChars="221"/>
        <w:jc w:val="both"/>
        <w:rPr>
          <w:rFonts w:ascii="仿宋_GB2312" w:eastAsia="仿宋_GB2312" w:cs="Arial Narrow"/>
          <w:sz w:val="32"/>
          <w:szCs w:val="32"/>
        </w:rPr>
      </w:pPr>
      <w:r>
        <w:rPr>
          <w:rFonts w:hint="eastAsia" w:ascii="仿宋_GB2312" w:eastAsia="仿宋_GB2312" w:cs="Arial Narrow"/>
          <w:sz w:val="32"/>
          <w:szCs w:val="32"/>
        </w:rPr>
        <w:t>中国保监会印发《保险公司城乡居民大病保险财务管理暂行办法》，其第八条规定：保险公司应建立大病保险保费收入上划和赔款支出下拨机制。故项目实施过程中，当秦皇岛市医疗保险基金管理中心向太保公司拨付保费后，太保公司将保费上划至中国太平洋人寿保险股份有限公司河北分公司，中国太平洋人寿保险股份有限公司河北分公司上划至总公司。当太保公司需要赔付时，向中国太平洋人寿保险股份有限公司河北分公司申请资金。</w:t>
      </w:r>
    </w:p>
    <w:p>
      <w:pPr>
        <w:widowControl w:val="0"/>
        <w:spacing w:line="580" w:lineRule="exact"/>
        <w:ind w:firstLine="707" w:firstLineChars="221"/>
        <w:jc w:val="both"/>
        <w:rPr>
          <w:rFonts w:ascii="仿宋_GB2312" w:eastAsia="仿宋_GB2312" w:cs="Arial Narrow"/>
          <w:sz w:val="32"/>
          <w:szCs w:val="32"/>
        </w:rPr>
      </w:pPr>
      <w:r>
        <w:rPr>
          <w:rFonts w:hint="eastAsia" w:ascii="仿宋_GB2312" w:eastAsia="仿宋_GB2312" w:cs="Arial Narrow"/>
          <w:sz w:val="32"/>
          <w:szCs w:val="32"/>
        </w:rPr>
        <w:t>建议项目主管单位根据太保公司按月汇报的资金实际使用情况、资金暂剩余情况，结合实际情况，考虑是否有必要对拨款进度进行调整。</w:t>
      </w:r>
    </w:p>
    <w:p>
      <w:pPr>
        <w:widowControl w:val="0"/>
        <w:spacing w:line="580" w:lineRule="exact"/>
        <w:ind w:firstLine="710" w:firstLineChars="221"/>
        <w:jc w:val="both"/>
        <w:rPr>
          <w:rFonts w:ascii="仿宋_GB2312" w:eastAsia="仿宋_GB2312" w:cs="Arial Narrow"/>
          <w:b/>
          <w:sz w:val="32"/>
          <w:szCs w:val="32"/>
        </w:rPr>
      </w:pPr>
      <w:r>
        <w:rPr>
          <w:rFonts w:hint="eastAsia" w:ascii="仿宋_GB2312" w:eastAsia="仿宋_GB2312" w:cs="Arial Narrow"/>
          <w:b/>
          <w:sz w:val="32"/>
          <w:szCs w:val="32"/>
        </w:rPr>
        <w:t>（二）加强项目绩效管理，完善绩效指标体系</w:t>
      </w:r>
    </w:p>
    <w:p>
      <w:pPr>
        <w:widowControl w:val="0"/>
        <w:spacing w:line="580" w:lineRule="exact"/>
        <w:ind w:firstLine="707" w:firstLineChars="221"/>
        <w:jc w:val="both"/>
        <w:rPr>
          <w:rFonts w:ascii="仿宋_GB2312" w:eastAsia="仿宋_GB2312" w:cs="Arial Narrow"/>
          <w:b/>
          <w:sz w:val="32"/>
          <w:szCs w:val="32"/>
        </w:rPr>
      </w:pPr>
      <w:r>
        <w:rPr>
          <w:rFonts w:hint="eastAsia" w:ascii="仿宋_GB2312" w:eastAsia="仿宋_GB2312"/>
          <w:bCs/>
          <w:sz w:val="32"/>
          <w:szCs w:val="32"/>
        </w:rPr>
        <w:t>绩效目标编制是预算绩效管理的起点，项目单位应结合项目实际情况规范编制绩效目标，并细化分解为具体的绩效指标，确保做到绩效指标合理、准确、细化、量化。</w:t>
      </w:r>
      <w:r>
        <w:rPr>
          <w:rFonts w:hint="eastAsia" w:ascii="仿宋_GB2312" w:eastAsia="仿宋_GB2312" w:cs="Arial Narrow"/>
          <w:bCs/>
          <w:sz w:val="32"/>
          <w:szCs w:val="32"/>
        </w:rPr>
        <w:t>绩效目标与绩效指标应贯穿于项目整个实施阶段，为资金预算安排、项目执行及项目绩效衡量、评价提供支撑。同时，应根据项目实际情况对各年度确定的绩效指标及指标值进行修正，避免设定的绩效指标体系流于形式，丧失绩效考核意义。</w:t>
      </w:r>
    </w:p>
    <w:p>
      <w:pPr>
        <w:widowControl w:val="0"/>
        <w:spacing w:line="580" w:lineRule="exact"/>
        <w:ind w:firstLine="710" w:firstLineChars="221"/>
        <w:jc w:val="both"/>
        <w:rPr>
          <w:rFonts w:ascii="仿宋_GB2312" w:eastAsia="仿宋_GB2312" w:cs="Arial Narrow"/>
          <w:b/>
          <w:sz w:val="32"/>
          <w:szCs w:val="32"/>
        </w:rPr>
      </w:pPr>
      <w:r>
        <w:rPr>
          <w:rFonts w:hint="eastAsia" w:ascii="仿宋_GB2312" w:eastAsia="仿宋_GB2312" w:cs="Arial Narrow"/>
          <w:b/>
          <w:sz w:val="32"/>
          <w:szCs w:val="32"/>
        </w:rPr>
        <w:t>（三）进一步加强项目管理</w:t>
      </w:r>
    </w:p>
    <w:p>
      <w:pPr>
        <w:widowControl w:val="0"/>
        <w:spacing w:line="580" w:lineRule="exact"/>
        <w:ind w:firstLine="707" w:firstLineChars="221"/>
        <w:jc w:val="both"/>
        <w:rPr>
          <w:rFonts w:ascii="仿宋_GB2312" w:eastAsia="仿宋_GB2312" w:cs="Arial Narrow"/>
          <w:sz w:val="32"/>
          <w:szCs w:val="32"/>
        </w:rPr>
      </w:pPr>
      <w:r>
        <w:rPr>
          <w:rFonts w:hint="eastAsia" w:ascii="仿宋_GB2312" w:eastAsia="仿宋_GB2312" w:cs="Arial Narrow"/>
          <w:sz w:val="32"/>
          <w:szCs w:val="32"/>
        </w:rPr>
        <w:t>1、项目服务期届满前落实下期承办机构，确保城乡居民大病保险赔付工作的衔接和持续开展</w:t>
      </w:r>
    </w:p>
    <w:p>
      <w:pPr>
        <w:widowControl w:val="0"/>
        <w:spacing w:line="580" w:lineRule="exact"/>
        <w:ind w:firstLine="707" w:firstLineChars="221"/>
        <w:jc w:val="both"/>
        <w:rPr>
          <w:rFonts w:ascii="仿宋_GB2312" w:eastAsia="仿宋_GB2312" w:cs="Arial Narrow"/>
          <w:b/>
          <w:sz w:val="32"/>
          <w:szCs w:val="32"/>
        </w:rPr>
      </w:pPr>
      <w:r>
        <w:rPr>
          <w:rFonts w:hint="eastAsia" w:ascii="仿宋_GB2312" w:eastAsia="仿宋_GB2312" w:cs="Arial Narrow"/>
          <w:sz w:val="32"/>
          <w:szCs w:val="32"/>
        </w:rPr>
        <w:t>考虑此项目为城乡居民大病保险项目实施的第二个周期，各项招标签约、拨款工作仍旧相对滞后，建议项目主管部门应在该服务期届满前提前落实好相关招投标管理工作，确保我市城乡居民大病保险赔付工作正常衔接和持续开展。</w:t>
      </w:r>
    </w:p>
    <w:p>
      <w:pPr>
        <w:widowControl w:val="0"/>
        <w:spacing w:line="580" w:lineRule="exact"/>
        <w:ind w:firstLine="707" w:firstLineChars="221"/>
        <w:jc w:val="both"/>
        <w:rPr>
          <w:rFonts w:ascii="仿宋_GB2312" w:eastAsia="仿宋_GB2312" w:cs="Arial Narrow"/>
          <w:sz w:val="32"/>
          <w:szCs w:val="32"/>
        </w:rPr>
      </w:pPr>
      <w:r>
        <w:rPr>
          <w:rFonts w:hint="eastAsia" w:ascii="仿宋_GB2312" w:eastAsia="仿宋_GB2312" w:cs="Arial Narrow"/>
          <w:sz w:val="32"/>
          <w:szCs w:val="32"/>
        </w:rPr>
        <w:t>2、尽早完成资金清算工作，避免专项资金在商业保险机构形成沉淀</w:t>
      </w:r>
    </w:p>
    <w:p>
      <w:pPr>
        <w:widowControl w:val="0"/>
        <w:spacing w:line="580" w:lineRule="exact"/>
        <w:ind w:firstLine="707" w:firstLineChars="221"/>
        <w:jc w:val="both"/>
        <w:rPr>
          <w:rFonts w:ascii="仿宋_GB2312" w:eastAsia="仿宋_GB2312" w:cs="Arial Narrow"/>
          <w:sz w:val="32"/>
          <w:szCs w:val="32"/>
        </w:rPr>
      </w:pPr>
      <w:r>
        <w:rPr>
          <w:rFonts w:hint="eastAsia" w:ascii="仿宋_GB2312" w:eastAsia="仿宋_GB2312" w:cs="Arial Narrow"/>
          <w:sz w:val="32"/>
          <w:szCs w:val="32"/>
        </w:rPr>
        <w:t>鉴于城乡居民对大病保险报销存在急迫需求，截至2022年6月，2021年度理赔人已基本完成相应报销程序，不会出现大范围报销群体，市医疗保障部门应明确资金结算时间，加紧对2021年度保费支出情况进行结算。对后续可能出现的部分报销费用，可由太保公司先行垫付，根据实际另行结算。</w:t>
      </w:r>
    </w:p>
    <w:p>
      <w:pPr>
        <w:widowControl w:val="0"/>
        <w:spacing w:line="580" w:lineRule="exact"/>
        <w:ind w:firstLine="640" w:firstLineChars="200"/>
        <w:jc w:val="both"/>
        <w:rPr>
          <w:rFonts w:ascii="仿宋_GB2312" w:eastAsia="仿宋_GB2312" w:cs="Arial Narrow"/>
          <w:sz w:val="32"/>
          <w:szCs w:val="32"/>
        </w:rPr>
      </w:pPr>
      <w:r>
        <w:rPr>
          <w:rFonts w:hint="eastAsia" w:ascii="仿宋_GB2312" w:eastAsia="仿宋_GB2312" w:cs="Arial Narrow"/>
          <w:sz w:val="32"/>
          <w:szCs w:val="32"/>
        </w:rPr>
        <w:t>同时，项目主管部门和承担单位应进一步加强项目制度建设，根据年度实际工作开展情况，建立健全年度实施方案，对年度任务目标、工作要求、职责分工、结算方式、时间节点、考核验收等事项进行有效明确和规范。并于各年度项目资金结算后，对当年度项目绩效情况做出总结。</w:t>
      </w:r>
    </w:p>
    <w:p>
      <w:pPr>
        <w:widowControl w:val="0"/>
        <w:spacing w:line="500" w:lineRule="exact"/>
        <w:ind w:firstLine="560" w:firstLineChars="200"/>
        <w:jc w:val="both"/>
        <w:rPr>
          <w:rFonts w:ascii="仿宋_GB2312" w:eastAsia="仿宋_GB2312" w:cs="Arial Narrow"/>
          <w:sz w:val="28"/>
          <w:szCs w:val="28"/>
        </w:rPr>
      </w:pPr>
    </w:p>
    <w:sectPr>
      <w:headerReference r:id="rId3" w:type="default"/>
      <w:footerReference r:id="rId4" w:type="default"/>
      <w:type w:val="continuous"/>
      <w:pgSz w:w="11907" w:h="16840"/>
      <w:pgMar w:top="1418" w:right="1418" w:bottom="1418" w:left="141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Narrow">
    <w:panose1 w:val="020B0606020202030204"/>
    <w:charset w:val="00"/>
    <w:family w:val="swiss"/>
    <w:pitch w:val="default"/>
    <w:sig w:usb0="00000287" w:usb1="00000800" w:usb2="00000000" w:usb3="00000000" w:csb0="2000009F" w:csb1="DFD7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mc:AlternateContent>
        <mc:Choice Requires="wps">
          <w:drawing>
            <wp:anchor distT="0" distB="0" distL="113665" distR="113665" simplePos="0" relativeHeight="251659264" behindDoc="0" locked="0" layoutInCell="1" allowOverlap="1">
              <wp:simplePos x="0" y="0"/>
              <wp:positionH relativeFrom="margin">
                <wp:align>center</wp:align>
              </wp:positionH>
              <wp:positionV relativeFrom="paragraph">
                <wp:posOffset>0</wp:posOffset>
              </wp:positionV>
              <wp:extent cx="175260" cy="131445"/>
              <wp:effectExtent l="0" t="0" r="0" b="0"/>
              <wp:wrapNone/>
              <wp:docPr id="4" name="_x0000_s1028"/>
              <wp:cNvGraphicFramePr/>
              <a:graphic xmlns:a="http://schemas.openxmlformats.org/drawingml/2006/main">
                <a:graphicData uri="http://schemas.microsoft.com/office/word/2010/wordprocessingShape">
                  <wps:wsp>
                    <wps:cNvSpPr/>
                    <wps:spPr>
                      <a:xfrm>
                        <a:off x="0" y="0"/>
                        <a:ext cx="175260" cy="131445"/>
                      </a:xfrm>
                      <a:prstGeom prst="rect">
                        <a:avLst/>
                      </a:prstGeom>
                      <a:noFill/>
                      <a:ln w="9525" cap="flat" cmpd="sng">
                        <a:noFill/>
                        <a:prstDash val="solid"/>
                        <a:miter/>
                      </a:ln>
                    </wps:spPr>
                    <wps:txbx>
                      <w:txbxContent>
                        <w:p>
                          <w:pPr>
                            <w:pStyle w:val="7"/>
                          </w:pPr>
                          <w:r>
                            <w:fldChar w:fldCharType="begin"/>
                          </w:r>
                          <w:r>
                            <w:instrText xml:space="preserve"> PAGE  \* MERGEFORMAT </w:instrText>
                          </w:r>
                          <w:r>
                            <w:fldChar w:fldCharType="separate"/>
                          </w:r>
                          <w:r>
                            <w:t>10</w:t>
                          </w:r>
                          <w:r>
                            <w:fldChar w:fldCharType="end"/>
                          </w:r>
                        </w:p>
                      </w:txbxContent>
                    </wps:txbx>
                    <wps:bodyPr vert="horz" wrap="square" lIns="0" tIns="0" rIns="0" bIns="0" anchor="t" anchorCtr="0" upright="1">
                      <a:spAutoFit/>
                    </wps:bodyPr>
                  </wps:wsp>
                </a:graphicData>
              </a:graphic>
            </wp:anchor>
          </w:drawing>
        </mc:Choice>
        <mc:Fallback>
          <w:pict>
            <v:rect id="_x0000_s1028" o:spid="_x0000_s1026" o:spt="1" style="position:absolute;left:0pt;margin-top:0pt;height:10.35pt;width:13.8pt;mso-position-horizontal:center;mso-position-horizontal-relative:margin;z-index:251659264;mso-width-relative:page;mso-height-relative:page;" filled="f" stroked="f" coordsize="21600,21600" o:gfxdata="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CxOEMU0wAAAAMBAAAPAAAAAAAAAAEAIAAAACIAAABkcnMvZG93bnJldi54bWxQSwEC&#10;FAAUAAAACACHTuJAi1AY1fkBAAD3AwAADgAAAAAAAAABACAAAAAiAQAAZHJzL2Uyb0RvYy54bWxQ&#10;SwUGAAAAAAYABgBZAQAAjQUAAAAA&#10;">
              <v:fill on="f" focussize="0,0"/>
              <v:stroke on="f" joinstyle="miter"/>
              <v:imagedata o:title=""/>
              <o:lock v:ext="edit" aspectratio="f"/>
              <v:textbox inset="0mm,0mm,0mm,0mm" style="mso-fit-shape-to-text:t;">
                <w:txbxContent>
                  <w:p>
                    <w:pPr>
                      <w:pStyle w:val="7"/>
                    </w:pPr>
                    <w:r>
                      <w:fldChar w:fldCharType="begin"/>
                    </w:r>
                    <w:r>
                      <w:instrText xml:space="preserve"> PAGE  \* MERGEFORMAT </w:instrText>
                    </w:r>
                    <w:r>
                      <w:fldChar w:fldCharType="separate"/>
                    </w:r>
                    <w:r>
                      <w:t>10</w:t>
                    </w:r>
                    <w:r>
                      <w:fldChar w:fldCharType="end"/>
                    </w:r>
                  </w:p>
                </w:txbxContent>
              </v:textbox>
            </v:rect>
          </w:pict>
        </mc:Fallback>
      </mc:AlternateContent>
    </w:r>
  </w:p>
  <w:p>
    <w:pPr>
      <w:pStyle w:val="7"/>
    </w:pPr>
  </w:p>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1"/>
      </w:pBdr>
      <w:rPr>
        <w:rFonts w:ascii="楷体" w:eastAsia="楷体"/>
        <w:sz w:val="21"/>
        <w:szCs w:val="21"/>
      </w:rPr>
    </w:pPr>
    <w:r>
      <w:rPr>
        <w:rFonts w:hint="eastAsia" w:ascii="楷体" w:eastAsia="楷体"/>
        <w:sz w:val="21"/>
        <w:szCs w:val="21"/>
      </w:rPr>
      <w:t xml:space="preserve">   </w:t>
    </w:r>
  </w:p>
  <w:p>
    <w:pPr>
      <w:pStyle w:val="8"/>
      <w:pBdr>
        <w:bottom w:val="none" w:color="auto" w:sz="0" w:space="1"/>
      </w:pBdr>
      <w:rPr>
        <w:rFonts w:ascii="楷体" w:eastAsia="楷体"/>
        <w:sz w:val="21"/>
        <w:szCs w:val="21"/>
      </w:rPr>
    </w:pPr>
  </w:p>
  <w:p>
    <w:pPr>
      <w:pStyle w:val="8"/>
      <w:pBdr>
        <w:bottom w:val="none" w:color="auto" w:sz="0" w:space="1"/>
      </w:pBdr>
      <w:rPr>
        <w:rFonts w:ascii="仿宋" w:eastAsia="仿宋"/>
        <w:sz w:val="15"/>
        <w:szCs w:val="15"/>
      </w:rPr>
    </w:pPr>
    <w:r>
      <w:rPr>
        <w:rFonts w:hint="eastAsia" w:ascii="楷体" w:eastAsia="楷体"/>
        <w:sz w:val="21"/>
        <w:szCs w:val="21"/>
      </w:rPr>
      <w:t xml:space="preserve">                 </w:t>
    </w:r>
    <w:r>
      <w:rPr>
        <w:rFonts w:hint="eastAsia"/>
        <w:i/>
        <w:iCs/>
        <w:sz w:val="15"/>
        <w:szCs w:val="15"/>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HorizontalSpacing w:val="110"/>
  <w:drawingGridVerticalSpacing w:val="156"/>
  <w:displayHorizontalDrawingGridEvery w:val="0"/>
  <w:displayVerticalDrawingGridEvery w:val="2"/>
  <w:characterSpacingControl w:val="compressPunctuation"/>
  <w:compat>
    <w:spaceForUL/>
    <w:balanceSingleByteDoubleByteWidth/>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FmMmI1NjlmYmY0YWIzMzM2MDE3ODY4YjNjZmI2MTUifQ=="/>
  </w:docVars>
  <w:rsids>
    <w:rsidRoot w:val="00E05416"/>
    <w:rsid w:val="00300161"/>
    <w:rsid w:val="00341292"/>
    <w:rsid w:val="009727BF"/>
    <w:rsid w:val="00C47757"/>
    <w:rsid w:val="00C9637F"/>
    <w:rsid w:val="00D35065"/>
    <w:rsid w:val="00D91F0C"/>
    <w:rsid w:val="00E05416"/>
    <w:rsid w:val="077E0235"/>
    <w:rsid w:val="6BE0759B"/>
    <w:rsid w:val="7443588E"/>
    <w:rsid w:val="7A4B13DF"/>
    <w:rsid w:val="DD6F4736"/>
    <w:rsid w:val="EE7ED7D1"/>
    <w:rsid w:val="FEFFE4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宋体" w:cs="Times New Roman"/>
      <w:sz w:val="22"/>
      <w:szCs w:val="22"/>
      <w:lang w:val="en-US" w:eastAsia="zh-CN" w:bidi="ar-SA"/>
    </w:rPr>
  </w:style>
  <w:style w:type="paragraph" w:styleId="2">
    <w:name w:val="heading 1"/>
    <w:basedOn w:val="1"/>
    <w:next w:val="1"/>
    <w:qFormat/>
    <w:uiPriority w:val="0"/>
    <w:pPr>
      <w:spacing w:before="100" w:beforeAutospacing="1" w:after="100" w:afterAutospacing="1"/>
      <w:outlineLvl w:val="0"/>
    </w:pPr>
    <w:rPr>
      <w:rFonts w:ascii="宋体" w:cs="宋体"/>
      <w:b/>
      <w:bCs/>
      <w:kern w:val="36"/>
      <w:sz w:val="48"/>
      <w:szCs w:val="48"/>
    </w:rPr>
  </w:style>
  <w:style w:type="paragraph" w:styleId="3">
    <w:name w:val="heading 2"/>
    <w:basedOn w:val="1"/>
    <w:next w:val="1"/>
    <w:qFormat/>
    <w:uiPriority w:val="0"/>
    <w:pPr>
      <w:keepNext/>
      <w:keepLines/>
      <w:spacing w:before="260" w:after="260" w:line="415" w:lineRule="auto"/>
      <w:outlineLvl w:val="1"/>
    </w:pPr>
    <w:rPr>
      <w:rFonts w:eastAsia="黑体"/>
      <w:b/>
      <w:bCs/>
      <w:sz w:val="32"/>
      <w:szCs w:val="32"/>
    </w:rPr>
  </w:style>
  <w:style w:type="paragraph" w:styleId="4">
    <w:name w:val="heading 3"/>
    <w:basedOn w:val="1"/>
    <w:next w:val="1"/>
    <w:qFormat/>
    <w:uiPriority w:val="0"/>
    <w:pPr>
      <w:keepNext/>
      <w:keepLines/>
      <w:spacing w:before="260" w:after="260" w:line="415" w:lineRule="auto"/>
      <w:outlineLvl w:val="2"/>
    </w:pPr>
    <w:rPr>
      <w:b/>
      <w:bCs/>
      <w:sz w:val="32"/>
      <w:szCs w:val="32"/>
    </w:rPr>
  </w:style>
  <w:style w:type="character" w:default="1" w:styleId="12">
    <w:name w:val="Default Paragraph Font"/>
    <w:semiHidden/>
    <w:unhideWhenUsed/>
    <w:qFormat/>
    <w:uiPriority w:val="1"/>
  </w:style>
  <w:style w:type="table" w:default="1" w:styleId="11">
    <w:name w:val="Normal Table"/>
    <w:semiHidden/>
    <w:unhideWhenUsed/>
    <w:uiPriority w:val="99"/>
    <w:tblPr>
      <w:tblCellMar>
        <w:top w:w="0" w:type="dxa"/>
        <w:left w:w="108" w:type="dxa"/>
        <w:bottom w:w="0" w:type="dxa"/>
        <w:right w:w="108" w:type="dxa"/>
      </w:tblCellMar>
    </w:tblPr>
  </w:style>
  <w:style w:type="paragraph" w:styleId="5">
    <w:name w:val="Body Text Indent"/>
    <w:basedOn w:val="1"/>
    <w:qFormat/>
    <w:uiPriority w:val="0"/>
    <w:pPr>
      <w:spacing w:after="120"/>
      <w:ind w:left="200" w:leftChars="200"/>
    </w:pPr>
  </w:style>
  <w:style w:type="paragraph" w:styleId="6">
    <w:name w:val="Balloon Text"/>
    <w:basedOn w:val="1"/>
    <w:qFormat/>
    <w:uiPriority w:val="0"/>
    <w:rPr>
      <w:sz w:val="18"/>
      <w:szCs w:val="18"/>
    </w:rPr>
  </w:style>
  <w:style w:type="paragraph" w:styleId="7">
    <w:name w:val="footer"/>
    <w:basedOn w:val="1"/>
    <w:qFormat/>
    <w:uiPriority w:val="0"/>
    <w:pPr>
      <w:tabs>
        <w:tab w:val="center" w:pos="4153"/>
        <w:tab w:val="right" w:pos="8306"/>
      </w:tabs>
      <w:snapToGrid w:val="0"/>
    </w:pPr>
    <w:rPr>
      <w:sz w:val="18"/>
      <w:szCs w:val="18"/>
    </w:rPr>
  </w:style>
  <w:style w:type="paragraph" w:styleId="8">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9">
    <w:name w:val="Normal (Web)"/>
    <w:basedOn w:val="1"/>
    <w:qFormat/>
    <w:uiPriority w:val="0"/>
    <w:pPr>
      <w:spacing w:before="100" w:beforeAutospacing="1" w:after="100" w:afterAutospacing="1"/>
    </w:pPr>
    <w:rPr>
      <w:rFonts w:ascii="宋体" w:cs="宋体"/>
      <w:sz w:val="24"/>
      <w:szCs w:val="24"/>
    </w:rPr>
  </w:style>
  <w:style w:type="paragraph" w:styleId="10">
    <w:name w:val="Body Text First Indent 2"/>
    <w:basedOn w:val="1"/>
    <w:next w:val="1"/>
    <w:qFormat/>
    <w:uiPriority w:val="0"/>
    <w:pPr>
      <w:widowControl w:val="0"/>
      <w:ind w:firstLine="200" w:firstLineChars="200"/>
      <w:jc w:val="both"/>
    </w:pPr>
    <w:rPr>
      <w:sz w:val="24"/>
      <w:szCs w:val="20"/>
      <w:lang w:val="zh-CN"/>
    </w:rPr>
  </w:style>
  <w:style w:type="character" w:styleId="13">
    <w:name w:val="Hyperlink"/>
    <w:basedOn w:val="12"/>
    <w:qFormat/>
    <w:uiPriority w:val="0"/>
    <w:rPr>
      <w:color w:val="0000FF"/>
      <w:u w:val="single"/>
    </w:rPr>
  </w:style>
  <w:style w:type="paragraph" w:styleId="14">
    <w:name w:val="List Paragraph"/>
    <w:basedOn w:val="1"/>
    <w:qFormat/>
    <w:uiPriority w:val="0"/>
    <w:pPr>
      <w:ind w:firstLine="200" w:firstLineChars="200"/>
    </w:pPr>
  </w:style>
  <w:style w:type="paragraph" w:customStyle="1" w:styleId="15">
    <w:name w:val="mgt-20"/>
    <w:basedOn w:val="1"/>
    <w:qFormat/>
    <w:uiPriority w:val="0"/>
    <w:pPr>
      <w:spacing w:before="100" w:beforeAutospacing="1" w:after="100" w:afterAutospacing="1"/>
    </w:pPr>
    <w:rPr>
      <w:rFonts w:ascii="宋体" w:cs="宋体"/>
      <w:sz w:val="24"/>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11</Pages>
  <Words>5336</Words>
  <Characters>6542</Characters>
  <Lines>49</Lines>
  <Paragraphs>13</Paragraphs>
  <TotalTime>25</TotalTime>
  <ScaleCrop>false</ScaleCrop>
  <LinksUpToDate>false</LinksUpToDate>
  <CharactersWithSpaces>6600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2020-11-10T01:52:00Z</dcterms:created>
  <dc:creator>yaner</dc:creator>
  <cp:lastModifiedBy>巴菲特别</cp:lastModifiedBy>
  <cp:lastPrinted>2022-11-25T06:49:00Z</cp:lastPrinted>
  <dcterms:modified xsi:type="dcterms:W3CDTF">2023-01-05T03:03:16Z</dcterms:modified>
  <cp:revision>1202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F9CA5B66FFC54AA49C9FDF029B47D4A2</vt:lpwstr>
  </property>
</Properties>
</file>