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eastAsia="仿宋_GB2312"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t>关</w:t>
      </w:r>
      <w:r>
        <w:rPr>
          <w:rFonts w:hint="eastAsia" w:ascii="宋体" w:hAnsi="宋体"/>
          <w:b/>
          <w:sz w:val="44"/>
          <w:szCs w:val="44"/>
          <w:lang w:eastAsia="zh-CN"/>
        </w:rPr>
        <w:t>于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民族路南延伸道路工程</w:t>
      </w:r>
      <w:r>
        <w:rPr>
          <w:rFonts w:hint="eastAsia" w:ascii="宋体" w:hAnsi="宋体"/>
          <w:b/>
          <w:sz w:val="44"/>
          <w:szCs w:val="44"/>
          <w:lang w:eastAsia="zh-CN"/>
        </w:rPr>
        <w:t>初步设计</w:t>
      </w:r>
      <w:r>
        <w:rPr>
          <w:rFonts w:hint="eastAsia" w:ascii="宋体" w:hAnsi="宋体"/>
          <w:b/>
          <w:sz w:val="44"/>
          <w:szCs w:val="44"/>
        </w:rPr>
        <w:t>的批复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秦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皇岛市住房和城乡建设局</w:t>
      </w:r>
      <w:r>
        <w:rPr>
          <w:rFonts w:hint="eastAsia" w:ascii="仿宋" w:hAnsi="仿宋" w:eastAsia="仿宋" w:cs="仿宋"/>
          <w:szCs w:val="32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Cs w:val="32"/>
          <w:lang w:val="zh-CN" w:eastAsia="zh-CN"/>
        </w:rPr>
      </w:pPr>
      <w:r>
        <w:rPr>
          <w:rFonts w:hint="eastAsia" w:ascii="仿宋" w:hAnsi="仿宋" w:eastAsia="仿宋"/>
          <w:szCs w:val="32"/>
        </w:rPr>
        <w:t>你单位《关于报批</w:t>
      </w:r>
      <w:r>
        <w:rPr>
          <w:rFonts w:hint="eastAsia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民族路南延伸道路工程</w:t>
      </w:r>
      <w:r>
        <w:rPr>
          <w:rFonts w:hint="eastAsia" w:ascii="仿宋" w:hAnsi="仿宋" w:eastAsia="仿宋"/>
          <w:szCs w:val="32"/>
          <w:lang w:val="zh-CN" w:eastAsia="zh-CN"/>
        </w:rPr>
        <w:t>初步设计的请示》及中国铁路设计集团有限公司和</w:t>
      </w:r>
      <w:r>
        <w:rPr>
          <w:rFonts w:hint="eastAsia" w:ascii="仿宋" w:hAnsi="仿宋" w:eastAsia="仿宋"/>
          <w:szCs w:val="32"/>
          <w:lang w:val="en-US" w:eastAsia="zh-CN"/>
        </w:rPr>
        <w:t>秦皇岛市市政设计院有限公司共同</w:t>
      </w:r>
      <w:r>
        <w:rPr>
          <w:rFonts w:hint="eastAsia" w:ascii="仿宋" w:hAnsi="仿宋" w:eastAsia="仿宋"/>
          <w:szCs w:val="32"/>
          <w:lang w:val="zh-CN" w:eastAsia="zh-CN"/>
        </w:rPr>
        <w:t>编制的《</w:t>
      </w:r>
      <w:r>
        <w:rPr>
          <w:rFonts w:hint="eastAsia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民族路南延伸道路工程</w:t>
      </w:r>
      <w:r>
        <w:rPr>
          <w:rFonts w:hint="eastAsia" w:ascii="仿宋" w:hAnsi="仿宋" w:eastAsia="仿宋"/>
          <w:szCs w:val="32"/>
          <w:lang w:val="zh-CN" w:eastAsia="zh-CN"/>
        </w:rPr>
        <w:t>初步设计》（报审版）等材料收悉。依据京秀工程咨询</w:t>
      </w:r>
      <w:r>
        <w:rPr>
          <w:rFonts w:hint="eastAsia" w:ascii="仿宋" w:hAnsi="仿宋" w:eastAsia="仿宋"/>
          <w:szCs w:val="32"/>
          <w:lang w:val="en-US" w:eastAsia="zh-CN"/>
        </w:rPr>
        <w:t>有限公司</w:t>
      </w:r>
      <w:r>
        <w:rPr>
          <w:rFonts w:hint="eastAsia" w:ascii="仿宋" w:hAnsi="仿宋" w:eastAsia="仿宋"/>
          <w:szCs w:val="32"/>
          <w:lang w:val="zh-CN" w:eastAsia="zh-CN"/>
        </w:rPr>
        <w:t>出具的《</w:t>
      </w:r>
      <w:r>
        <w:rPr>
          <w:rFonts w:hint="eastAsia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民族路南延伸道路工程</w:t>
      </w:r>
      <w:r>
        <w:rPr>
          <w:rFonts w:hint="eastAsia" w:ascii="仿宋" w:hAnsi="仿宋" w:eastAsia="仿宋"/>
          <w:szCs w:val="32"/>
          <w:lang w:val="zh-CN" w:eastAsia="zh-CN"/>
        </w:rPr>
        <w:t>初步设计（报批版）审查报告》，原则同意中国铁路设计集团有限公司和</w:t>
      </w:r>
      <w:r>
        <w:rPr>
          <w:rFonts w:hint="eastAsia" w:ascii="仿宋" w:hAnsi="仿宋" w:eastAsia="仿宋"/>
          <w:szCs w:val="32"/>
          <w:lang w:val="en-US" w:eastAsia="zh-CN"/>
        </w:rPr>
        <w:t>秦皇岛市市政设计院有限公司</w:t>
      </w:r>
      <w:r>
        <w:rPr>
          <w:rFonts w:hint="eastAsia" w:ascii="仿宋" w:hAnsi="仿宋" w:eastAsia="仿宋"/>
          <w:szCs w:val="32"/>
          <w:lang w:val="zh-CN" w:eastAsia="zh-CN"/>
        </w:rPr>
        <w:t>修订后的该工程初步设计文件（报批版）。现将相关内容批复如下：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Cs w:val="32"/>
          <w:lang w:eastAsia="zh-CN"/>
        </w:rPr>
        <w:t>项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目名称：</w:t>
      </w:r>
      <w:r>
        <w:rPr>
          <w:rFonts w:hint="eastAsia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民族路南延伸道路工程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二、项目实施单位：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秦皇岛市市政工程建设服务中心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三、建设地点：海港区民族路南段，北起河北大街中段、南至海滨路段。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主要建设内容及规模：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本工程北起河北大街，南至海滨路，长约1750米（中线交点距离），实际长度约1924米（含桥长545m)，道路等级为城市主干路，规划红线宽50米，包括上跨铁路立交桥一座。配套建设雨水、污水、电缆沟、交通、照明、绿化等市政配套基础设施。其中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市政部分：设计范围为全路段道路工程、铁路桥南北两侧市政桥梁工程及随道路配建雨水、污水、路灯、绿化、交通安全设施、电缆沟等市政基础设施。新建市政桥梁长度合计305米（K0+529至K0+621.5，包含3</w:t>
      </w:r>
      <w:r>
        <w:rPr>
          <w:rFonts w:hint="default" w:ascii="Arial" w:hAnsi="Arial" w:eastAsia="仿宋" w:cs="Arial"/>
          <w:b w:val="0"/>
          <w:kern w:val="2"/>
          <w:sz w:val="32"/>
          <w:szCs w:val="32"/>
          <w:lang w:val="en-US" w:eastAsia="zh-CN" w:bidi="ar-SA"/>
        </w:rPr>
        <w:t>×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30m预应力混凝土小箱梁；KO+861.5至K1+074，包含7</w:t>
      </w:r>
      <w:r>
        <w:rPr>
          <w:rFonts w:hint="default" w:ascii="Arial" w:hAnsi="Arial" w:eastAsia="仿宋" w:cs="Arial"/>
          <w:b w:val="0"/>
          <w:kern w:val="2"/>
          <w:sz w:val="32"/>
          <w:szCs w:val="32"/>
          <w:lang w:val="en-US" w:eastAsia="zh-CN" w:bidi="ar-SA"/>
        </w:rPr>
        <w:t>×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30m预应力混凝土小箱梁；两侧桥台)；对东环路、光明路、渤海路进行顺接改造；迁改污水泵站1座,泵仓有效容积91m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superscript"/>
          <w:lang w:val="en-US" w:eastAsia="zh-CN" w:bidi="ar-SA"/>
        </w:rPr>
        <w:t>3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（应按相关规定履行用地、规划等审批手续；设计规模远期2000m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superscript"/>
          <w:lang w:val="en-US" w:eastAsia="zh-CN" w:bidi="ar-SA"/>
        </w:rPr>
        <w:t>3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/h,采用一台LHG型反捞式粗格栅除污机，一台XQ型循环式齿耙细格栅除污机，三台300WQ1000-26-110型潜水排污泵）。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（二）涉铁部分：新建民族路上跨铁路立交桥一座，长度约240米。设计范围起点 KO +621.5至 KO +861.5，包含3</w:t>
      </w:r>
      <w:r>
        <w:rPr>
          <w:rFonts w:hint="default" w:ascii="Arial" w:hAnsi="Arial" w:eastAsia="仿宋" w:cs="Arial"/>
          <w:b w:val="0"/>
          <w:kern w:val="2"/>
          <w:sz w:val="32"/>
          <w:szCs w:val="32"/>
          <w:lang w:val="en-US" w:eastAsia="zh-CN" w:bidi="ar-SA"/>
        </w:rPr>
        <w:t>×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30m预应力混凝土小箱梁+（25+50+50+25）m钢箱梁及跨铁路桥梁两侧上下桥梯道。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五、项目概算总投资及资金来源：项目概算总投资26326.92万元；资金筹措渠道：市财政投资。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/>
          <w:sz w:val="32"/>
          <w:lang w:eastAsia="zh-CN"/>
        </w:rPr>
        <w:t>六、</w:t>
      </w:r>
      <w:r>
        <w:rPr>
          <w:rFonts w:hint="eastAsia" w:ascii="仿宋_GB2312" w:eastAsia="仿宋_GB2312"/>
          <w:sz w:val="32"/>
        </w:rPr>
        <w:t>请抓紧办理相关手续，落实建设条件，尽快组织实施。并及时、如实通过河北省投资项目在线审批监管平台报送项目开工、建设进度、竣工验收等方面的基本信息，主动接受财政、发改、资源规划、生态环境、</w:t>
      </w:r>
      <w:r>
        <w:rPr>
          <w:rFonts w:hint="eastAsia"/>
          <w:sz w:val="32"/>
          <w:lang w:eastAsia="zh-CN"/>
        </w:rPr>
        <w:t>城管、公安、铁路</w:t>
      </w:r>
      <w:r>
        <w:rPr>
          <w:rFonts w:hint="eastAsia" w:ascii="仿宋_GB2312" w:eastAsia="仿宋_GB2312"/>
          <w:sz w:val="32"/>
        </w:rPr>
        <w:t>、统计、电力等相关部门的监管</w:t>
      </w:r>
      <w:r>
        <w:rPr>
          <w:rFonts w:hint="eastAsia" w:ascii="仿宋" w:hAnsi="仿宋" w:eastAsia="仿宋" w:cs="仿宋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624" w:firstLineChars="1445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秦皇岛市行政审批局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D5A85C"/>
    <w:multiLevelType w:val="singleLevel"/>
    <w:tmpl w:val="B0D5A8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BCA67EA"/>
    <w:multiLevelType w:val="singleLevel"/>
    <w:tmpl w:val="EBCA67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BED8514"/>
    <w:multiLevelType w:val="singleLevel"/>
    <w:tmpl w:val="2BED851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6F73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rPr>
      <w:rFonts w:ascii="Calibri" w:hAnsi="Calibri"/>
      <w:sz w:val="28"/>
      <w:szCs w:val="22"/>
    </w:rPr>
  </w:style>
  <w:style w:type="paragraph" w:styleId="4">
    <w:name w:val="Body Text Indent"/>
    <w:basedOn w:val="1"/>
    <w:uiPriority w:val="0"/>
    <w:pPr>
      <w:ind w:firstLine="630"/>
    </w:pPr>
    <w:rPr>
      <w:rFonts w:ascii="仿宋_GB2312" w:eastAsia="仿宋_GB2312"/>
      <w:sz w:val="32"/>
    </w:rPr>
  </w:style>
  <w:style w:type="paragraph" w:customStyle="1" w:styleId="7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2022-10-18T02:03:28Z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1460C621014D4F1BA428A0C57DEC3416</vt:lpwstr>
  </property>
</Properties>
</file>