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秦皇岛北戴河新区管理委员会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关于20</w:t>
      </w:r>
      <w:r>
        <w:rPr>
          <w:rFonts w:hint="eastAsia" w:eastAsia="方正小标宋简体"/>
          <w:sz w:val="44"/>
          <w:szCs w:val="44"/>
          <w:lang w:val="en-US" w:eastAsia="zh-CN"/>
        </w:rPr>
        <w:t>21</w:t>
      </w:r>
      <w:r>
        <w:rPr>
          <w:rFonts w:eastAsia="方正小标宋简体"/>
          <w:sz w:val="44"/>
          <w:szCs w:val="44"/>
        </w:rPr>
        <w:t>年区级预算调整方案的说明</w:t>
      </w:r>
      <w:r>
        <w:rPr>
          <w:rFonts w:eastAsia="方正小标宋简体"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eastAsia="方正仿宋简体"/>
          <w:sz w:val="32"/>
          <w:szCs w:val="32"/>
          <w:highlight w:val="none"/>
        </w:rPr>
      </w:pPr>
      <w:r>
        <w:rPr>
          <w:rFonts w:eastAsia="方正仿宋简体"/>
          <w:sz w:val="32"/>
          <w:szCs w:val="32"/>
        </w:rPr>
        <w:t>根据《预算法》《预算法</w:t>
      </w:r>
      <w:r>
        <w:rPr>
          <w:rFonts w:hint="eastAsia" w:eastAsia="方正仿宋简体"/>
          <w:sz w:val="32"/>
          <w:szCs w:val="32"/>
          <w:lang w:val="en-US" w:eastAsia="zh-CN"/>
        </w:rPr>
        <w:t>实施条例</w:t>
      </w:r>
      <w:r>
        <w:rPr>
          <w:rFonts w:eastAsia="方正仿宋简体"/>
          <w:sz w:val="32"/>
          <w:szCs w:val="32"/>
        </w:rPr>
        <w:t>》和《河北省预算审查监</w:t>
      </w:r>
      <w:r>
        <w:rPr>
          <w:rFonts w:eastAsia="方正仿宋简体"/>
          <w:sz w:val="32"/>
          <w:szCs w:val="32"/>
          <w:highlight w:val="none"/>
        </w:rPr>
        <w:t>督条例》等相关规定，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因一般公共预算调入资金减</w:t>
      </w:r>
      <w:bookmarkStart w:id="0" w:name="_GoBack"/>
      <w:bookmarkEnd w:id="0"/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少和增加动用预算稳定调节基金等因素，需对</w:t>
      </w:r>
      <w:r>
        <w:rPr>
          <w:rFonts w:eastAsia="方正仿宋简体"/>
          <w:sz w:val="32"/>
          <w:szCs w:val="32"/>
          <w:highlight w:val="none"/>
        </w:rPr>
        <w:t>区级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一般公共</w:t>
      </w:r>
      <w:r>
        <w:rPr>
          <w:rFonts w:eastAsia="方正仿宋简体"/>
          <w:sz w:val="32"/>
          <w:szCs w:val="32"/>
          <w:highlight w:val="none"/>
        </w:rPr>
        <w:t>预算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进行</w:t>
      </w:r>
      <w:r>
        <w:rPr>
          <w:rFonts w:hint="eastAsia" w:eastAsia="方正仿宋简体"/>
          <w:sz w:val="32"/>
          <w:szCs w:val="32"/>
          <w:highlight w:val="none"/>
        </w:rPr>
        <w:t>调整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；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因政府性基金预算短收和新增政府债券资金，需对政府性基金预算进行调整；因社会保险基金超收和统筹级次变化，需对社会保险基金预算进行调整。现简要</w:t>
      </w:r>
      <w:r>
        <w:rPr>
          <w:rFonts w:hint="eastAsia" w:eastAsia="方正仿宋简体"/>
          <w:sz w:val="32"/>
          <w:szCs w:val="32"/>
          <w:highlight w:val="none"/>
        </w:rPr>
        <w:t>说明</w:t>
      </w:r>
      <w:r>
        <w:rPr>
          <w:rFonts w:eastAsia="方正仿宋简体"/>
          <w:sz w:val="32"/>
          <w:szCs w:val="32"/>
          <w:highlight w:val="none"/>
        </w:rPr>
        <w:t>如下</w:t>
      </w:r>
      <w:r>
        <w:rPr>
          <w:rFonts w:hint="eastAsia" w:eastAsia="方正仿宋简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default" w:eastAsia="黑体"/>
          <w:sz w:val="32"/>
          <w:szCs w:val="32"/>
          <w:highlight w:val="none"/>
          <w:lang w:val="en-US" w:eastAsia="zh-CN"/>
        </w:rPr>
      </w:pPr>
      <w:r>
        <w:rPr>
          <w:rFonts w:eastAsia="黑体"/>
          <w:sz w:val="32"/>
          <w:szCs w:val="32"/>
          <w:highlight w:val="none"/>
        </w:rPr>
        <w:t>一、</w:t>
      </w:r>
      <w:r>
        <w:rPr>
          <w:rFonts w:hint="eastAsia" w:eastAsia="黑体"/>
          <w:sz w:val="32"/>
          <w:szCs w:val="32"/>
          <w:highlight w:val="none"/>
          <w:lang w:val="en-US" w:eastAsia="zh-CN"/>
        </w:rPr>
        <w:t>关于区级一般公共预算调整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今年年初，区级收入预算安排116700万元，其中：税收收入96700万元，非税收入20000万元。面对新冠疫情、经济形势和减税降费等因素影响，全区财税部门加强分析调度，强化重点行业、重点税源监控，在确保减税降费政策全面落实到位的基础上，依法挖潜堵漏，做到应收尽收。全年区级收入预计完成116700万元，与年初计划持平，其中：税收收入87700万元，非税收入29000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预算执行中，受各项增减因素影响，可用财力减少27197万元。其中：昌黎县划转林场收入等增加转移性收入6161万元；因政府性基金预算短收，原安排调入的34500万元不再调入；因税收收入减少，相应减少体制上解支出3150万元；因扣缴生态补偿金等增加专项上解支出2008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为实现收支平衡，建议调减一般公共预算支出14097万元。主要通过压减部门非急需、非刚性支出以及可延缓至明年安排的支出解决，其中：重点产业发展扶持资金10387万元</w:t>
      </w:r>
      <w:r>
        <w:rPr>
          <w:rFonts w:hint="eastAsia" w:eastAsia="方正仿宋简体"/>
          <w:strike w:val="0"/>
          <w:dstrike w:val="0"/>
          <w:sz w:val="32"/>
          <w:szCs w:val="32"/>
          <w:highlight w:val="none"/>
          <w:lang w:val="en-US" w:eastAsia="zh-CN"/>
        </w:rPr>
        <w:t>、造林绿化及园林养护资金3710万元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上述支出调减后，收支缺口尚有13100万元，拟动用预算稳定调节基金予以平衡。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据此，区级一般公共预算总收支分别由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秦皇岛市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第十四届人民代表大会第六次会议批准的169163万元，调至153969万元，调减15194万元。其中：调增转移性收入6161万元、调减调入政府性基金34455万元、调增动用预算稳定调节基金13100万元；调减本级支出14097万元、调减上解支出1142万元，调增安排预算稳定调节基金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二、关于区级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政府性基金预算调整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按照预算法规定，结合政府性基金收支执行情况，在秦皇岛市十四届人大常委会第</w:t>
      </w:r>
      <w:r>
        <w:rPr>
          <w:rFonts w:hint="eastAsia" w:eastAsia="方正仿宋简体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方正仿宋简体"/>
          <w:sz w:val="32"/>
          <w:szCs w:val="32"/>
        </w:rPr>
        <w:t>次会议批准的预算调整方案的基础上，对20</w:t>
      </w:r>
      <w:r>
        <w:rPr>
          <w:rFonts w:hint="eastAsia" w:eastAsia="方正仿宋简体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简体"/>
          <w:sz w:val="32"/>
          <w:szCs w:val="32"/>
        </w:rPr>
        <w:t>年区级政府性基金预算收支进行调整，调整预算后收支保持平衡。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</w:rPr>
        <w:t>国有土地使用权出让收入预计完成</w:t>
      </w:r>
      <w:r>
        <w:rPr>
          <w:rFonts w:hint="eastAsia" w:eastAsia="方正仿宋简体"/>
          <w:sz w:val="32"/>
          <w:szCs w:val="32"/>
          <w:lang w:val="en-US" w:eastAsia="zh-CN"/>
        </w:rPr>
        <w:t>100062</w:t>
      </w:r>
      <w:r>
        <w:rPr>
          <w:rFonts w:hint="eastAsia" w:ascii="Times New Roman" w:hAnsi="Times New Roman" w:eastAsia="方正仿宋简体"/>
          <w:sz w:val="32"/>
          <w:szCs w:val="32"/>
        </w:rPr>
        <w:t>万元，短收</w:t>
      </w:r>
      <w:r>
        <w:rPr>
          <w:rFonts w:hint="eastAsia" w:eastAsia="方正仿宋简体"/>
          <w:sz w:val="32"/>
          <w:szCs w:val="32"/>
          <w:lang w:val="en-US" w:eastAsia="zh-CN"/>
        </w:rPr>
        <w:t>296438</w:t>
      </w:r>
      <w:r>
        <w:rPr>
          <w:rFonts w:hint="eastAsia" w:ascii="Times New Roman" w:hAnsi="Times New Roman" w:eastAsia="方正仿宋简体"/>
          <w:sz w:val="32"/>
          <w:szCs w:val="32"/>
        </w:rPr>
        <w:t>万元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相应调减：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①</w:t>
      </w:r>
      <w:r>
        <w:rPr>
          <w:rFonts w:hint="eastAsia" w:eastAsia="方正仿宋简体"/>
          <w:sz w:val="32"/>
          <w:szCs w:val="32"/>
          <w:lang w:val="en-US" w:eastAsia="zh-CN"/>
        </w:rPr>
        <w:t>本级支出261938万元，其中，征地和拆迁补偿支出39</w:t>
      </w:r>
      <w:r>
        <w:rPr>
          <w:rFonts w:hint="eastAsia" w:eastAsia="方正仿宋简体"/>
          <w:sz w:val="32"/>
          <w:szCs w:val="32"/>
          <w:u w:val="none"/>
          <w:lang w:val="en-US" w:eastAsia="zh-CN"/>
        </w:rPr>
        <w:t>10</w:t>
      </w:r>
      <w:r>
        <w:rPr>
          <w:rFonts w:hint="eastAsia" w:eastAsia="方正仿宋简体"/>
          <w:sz w:val="32"/>
          <w:szCs w:val="32"/>
          <w:lang w:val="en-US" w:eastAsia="zh-CN"/>
        </w:rPr>
        <w:t>1万元、土地开发支出16292万元、城市建设支出69080万元、农村基础设施建设支出1962万元、补助被征地农民支出2960万元、棚户区改造支出131898万元、债券付息支出483万元、发行费支出162万元；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②</w:t>
      </w:r>
      <w:r>
        <w:rPr>
          <w:rFonts w:hint="eastAsia" w:eastAsia="方正仿宋简体"/>
          <w:sz w:val="32"/>
          <w:szCs w:val="32"/>
          <w:lang w:val="en-US" w:eastAsia="zh-CN"/>
        </w:rPr>
        <w:t>调减调出资金34500万元。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城</w:t>
      </w:r>
      <w:r>
        <w:rPr>
          <w:rFonts w:hint="eastAsia" w:ascii="Times New Roman" w:hAnsi="Times New Roman" w:eastAsia="方正仿宋简体"/>
          <w:sz w:val="32"/>
          <w:szCs w:val="32"/>
        </w:rPr>
        <w:t>市基础设施配套费收入预计完成</w:t>
      </w:r>
      <w:r>
        <w:rPr>
          <w:rFonts w:hint="eastAsia" w:eastAsia="方正仿宋简体"/>
          <w:sz w:val="32"/>
          <w:szCs w:val="32"/>
          <w:lang w:val="en-US" w:eastAsia="zh-CN"/>
        </w:rPr>
        <w:t>4939</w:t>
      </w:r>
      <w:r>
        <w:rPr>
          <w:rFonts w:hint="eastAsia" w:ascii="Times New Roman" w:hAnsi="Times New Roman" w:eastAsia="方正仿宋简体"/>
          <w:sz w:val="32"/>
          <w:szCs w:val="32"/>
        </w:rPr>
        <w:t>万元，</w:t>
      </w:r>
      <w:r>
        <w:rPr>
          <w:rFonts w:hint="eastAsia" w:eastAsia="方正仿宋简体"/>
          <w:sz w:val="32"/>
          <w:szCs w:val="32"/>
          <w:lang w:val="en-US" w:eastAsia="zh-CN"/>
        </w:rPr>
        <w:t>短</w:t>
      </w:r>
      <w:r>
        <w:rPr>
          <w:rFonts w:hint="eastAsia" w:ascii="Times New Roman" w:hAnsi="Times New Roman" w:eastAsia="方正仿宋简体"/>
          <w:sz w:val="32"/>
          <w:szCs w:val="32"/>
        </w:rPr>
        <w:t>收</w:t>
      </w:r>
      <w:r>
        <w:rPr>
          <w:rFonts w:hint="eastAsia" w:eastAsia="方正仿宋简体"/>
          <w:sz w:val="32"/>
          <w:szCs w:val="32"/>
          <w:lang w:val="en-US" w:eastAsia="zh-CN"/>
        </w:rPr>
        <w:t>5061</w:t>
      </w:r>
      <w:r>
        <w:rPr>
          <w:rFonts w:hint="eastAsia" w:ascii="Times New Roman" w:hAnsi="Times New Roman" w:eastAsia="方正仿宋简体"/>
          <w:sz w:val="32"/>
          <w:szCs w:val="32"/>
        </w:rPr>
        <w:t>万元。</w:t>
      </w:r>
      <w:r>
        <w:rPr>
          <w:rFonts w:hint="eastAsia" w:eastAsia="方正仿宋简体"/>
          <w:sz w:val="32"/>
          <w:szCs w:val="32"/>
          <w:lang w:val="en-US" w:eastAsia="zh-CN"/>
        </w:rPr>
        <w:t>相应调减支出5061万元，其中：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城市公共设施4312万元、城市环境卫生137万元、其他城市基础设施配套费安排的支出612万元。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污水处理费收入预计完成104万元，超收104万元。安排支出104万元，用于团林污水处理厂政府购买PPP项目付费。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其他政府性基金（新型墙体材料专项基金）预计收入45万元，超收45万元。本年度无相关支出，全部调入一般公共预算，安排预算稳定调节基金。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另外，</w:t>
      </w:r>
      <w:r>
        <w:rPr>
          <w:rFonts w:hint="eastAsia" w:ascii="Times New Roman" w:hAnsi="Times New Roman" w:eastAsia="方正仿宋简体"/>
          <w:sz w:val="32"/>
          <w:szCs w:val="32"/>
        </w:rPr>
        <w:t>新增专项债券支出调增</w:t>
      </w:r>
      <w:r>
        <w:rPr>
          <w:rFonts w:hint="eastAsia" w:eastAsia="方正仿宋简体"/>
          <w:sz w:val="32"/>
          <w:szCs w:val="32"/>
          <w:lang w:val="en-US" w:eastAsia="zh-CN"/>
        </w:rPr>
        <w:t>20500</w:t>
      </w:r>
      <w:r>
        <w:rPr>
          <w:rFonts w:hint="eastAsia" w:ascii="Times New Roman" w:hAnsi="Times New Roman" w:eastAsia="方正仿宋简体"/>
          <w:sz w:val="32"/>
          <w:szCs w:val="32"/>
        </w:rPr>
        <w:t>万元，用于</w:t>
      </w:r>
      <w:r>
        <w:rPr>
          <w:rFonts w:hint="eastAsia" w:eastAsia="方正仿宋简体"/>
          <w:sz w:val="32"/>
          <w:szCs w:val="32"/>
          <w:lang w:val="en-US" w:eastAsia="zh-CN"/>
        </w:rPr>
        <w:t>赤洋口片区返迁安置房</w:t>
      </w:r>
      <w:r>
        <w:rPr>
          <w:rFonts w:hint="eastAsia" w:ascii="Times New Roman" w:hAnsi="Times New Roman" w:eastAsia="方正仿宋简体"/>
          <w:sz w:val="32"/>
          <w:szCs w:val="32"/>
        </w:rPr>
        <w:t>项目</w:t>
      </w:r>
      <w:r>
        <w:rPr>
          <w:rFonts w:hint="eastAsia" w:eastAsia="方正仿宋简体"/>
          <w:sz w:val="32"/>
          <w:szCs w:val="32"/>
          <w:lang w:eastAsia="zh-CN"/>
        </w:rPr>
        <w:t>（</w:t>
      </w:r>
      <w:r>
        <w:rPr>
          <w:rFonts w:hint="eastAsia" w:eastAsia="方正仿宋简体"/>
          <w:sz w:val="32"/>
          <w:szCs w:val="32"/>
          <w:lang w:val="en-US" w:eastAsia="zh-CN"/>
        </w:rPr>
        <w:t>一期）15000万元，产业港园区基础设施配套建设项目3000万元，文化旅游产业园基础设施配套建设项目2500万元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据此，区级政府性基金预算总收支分别由</w:t>
      </w:r>
      <w:r>
        <w:rPr>
          <w:rFonts w:hint="eastAsia" w:ascii="Times New Roman" w:hAnsi="Times New Roman" w:eastAsia="方正仿宋简体"/>
          <w:sz w:val="32"/>
          <w:szCs w:val="32"/>
        </w:rPr>
        <w:t>秦皇岛市十四届人大常委会第</w:t>
      </w:r>
      <w:r>
        <w:rPr>
          <w:rFonts w:hint="eastAsia" w:eastAsia="方正仿宋简体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方正仿宋简体"/>
          <w:sz w:val="32"/>
          <w:szCs w:val="32"/>
        </w:rPr>
        <w:t>次会议批准</w:t>
      </w:r>
      <w:r>
        <w:rPr>
          <w:rFonts w:hint="eastAsia" w:eastAsia="方正仿宋简体"/>
          <w:sz w:val="32"/>
          <w:szCs w:val="32"/>
          <w:lang w:val="en-US" w:eastAsia="zh-CN"/>
        </w:rPr>
        <w:t>的480940万元，调至200090万元，调减280850万元。其中：调减本级收入301350万元，调增债务转贷收入20500万元；调减本级支出246395万元、调减调出资金34455万元。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三、关于社会保险</w:t>
      </w:r>
      <w:r>
        <w:rPr>
          <w:rFonts w:hint="eastAsia" w:ascii="黑体" w:hAnsi="黑体" w:eastAsia="黑体" w:cs="黑体"/>
          <w:sz w:val="32"/>
          <w:szCs w:val="32"/>
        </w:rPr>
        <w:t>基金预算调整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按照社会保险基金统筹级次，2021年城乡居民养老保险基金和机关事业单位养老保险基金为区级管理，城镇职工基本医疗保险基金实行市级统筹管理。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城乡居民养老保险基金本年收入调增240万元，支出调减20万元，年末滚存结余调增260万元。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机关事业单位养老保险基金上年结余调增319万元（编制2021年社保基金预算的时间早于2020年社保基金决算，因此预算的预计上年结余应调整为决算的实际数），本年收入调增296万元，上级补助收入调减1万元，本级支出调减126万元，年末滚存结余调增740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城镇职工基本医疗保险基金实行市级统筹管理后，本级收支11082万元全部调整为0。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方正仿宋简体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据此，区级社会保险基金预算总收支分别由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秦皇岛市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第十四届人民代表大会第六次会议批准的24748万元，调至14520万元，调减10228万元。其中：调增上年结余319万元、调减本年收入5144万元、调减上级补助收入5403万元；调减本级支出5548万元、调减上解上级支出5680万元，调增年末滚存结余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/>
          <w:sz w:val="32"/>
          <w:szCs w:val="32"/>
          <w:highlight w:val="none"/>
        </w:rPr>
      </w:pP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特此说明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。</w:t>
      </w:r>
    </w:p>
    <w:p>
      <w:pPr>
        <w:rPr>
          <w:rFonts w:hint="eastAsia" w:ascii="Times New Roman" w:hAnsi="Times New Roman" w:eastAsia="方正仿宋简体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br w:type="page"/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highlight w:val="none"/>
        </w:rPr>
        <w:sectPr>
          <w:footerReference r:id="rId3" w:type="default"/>
          <w:pgSz w:w="11906" w:h="16838"/>
          <w:pgMar w:top="2098" w:right="1474" w:bottom="1720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highlight w:val="none"/>
        </w:rPr>
      </w:pP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0"/>
        <w:gridCol w:w="1244"/>
        <w:gridCol w:w="1244"/>
        <w:gridCol w:w="1249"/>
        <w:gridCol w:w="2670"/>
        <w:gridCol w:w="1245"/>
        <w:gridCol w:w="1245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2021年北戴河新区一般公共预算调整方案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4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24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（+ -）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（+ -）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一、本级收入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116700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116700 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一、本级支出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142751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-14097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4463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6161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10624 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二、上解支出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26222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-1142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三、债务转贷收入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三、债务还本支出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四、动用预算稳定调节及基金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13500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13100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26600 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四、安排预算稳定调节基金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五、调入政府性基金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34500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-34455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169163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-15194 </w:t>
            </w: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153969 </w:t>
            </w:r>
          </w:p>
        </w:tc>
        <w:tc>
          <w:tcPr>
            <w:tcW w:w="10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169163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-15194 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153969 </w:t>
            </w:r>
          </w:p>
        </w:tc>
      </w:tr>
    </w:tbl>
    <w:p>
      <w:pPr>
        <w:rPr>
          <w:rFonts w:hint="eastAsia" w:ascii="Times New Roman" w:hAnsi="Times New Roman" w:eastAsia="方正仿宋简体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br w:type="page"/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005"/>
        <w:gridCol w:w="1151"/>
        <w:gridCol w:w="1271"/>
        <w:gridCol w:w="1010"/>
        <w:gridCol w:w="1968"/>
        <w:gridCol w:w="1005"/>
        <w:gridCol w:w="1151"/>
        <w:gridCol w:w="1271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2021年北戴河新区政府性基金预算调整方案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5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254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十四届人大常委会第26次会议批准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本次增减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（+ -）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十四届人大常委会第26次会议批准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本次增减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（+ -）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一、本级收入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406500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-301350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105150 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一、本级支出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361953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66700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-246395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182258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二、上级补助收入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 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二、上解支出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三、债务转贷收入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7500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66700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20500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94700 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三、债务还本支出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17787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四、调出资金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34500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-34455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414240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66700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-280850 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200090 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414240 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66700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-280850 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200090 </w:t>
            </w:r>
          </w:p>
        </w:tc>
      </w:tr>
    </w:tbl>
    <w:p>
      <w:pPr>
        <w:rPr>
          <w:rFonts w:hint="eastAsia" w:ascii="Times New Roman" w:hAnsi="Times New Roman" w:eastAsia="方正仿宋简体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br w:type="page"/>
      </w:r>
    </w:p>
    <w:tbl>
      <w:tblPr>
        <w:tblStyle w:val="8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018"/>
        <w:gridCol w:w="874"/>
        <w:gridCol w:w="976"/>
        <w:gridCol w:w="934"/>
        <w:gridCol w:w="870"/>
        <w:gridCol w:w="960"/>
        <w:gridCol w:w="1035"/>
        <w:gridCol w:w="810"/>
        <w:gridCol w:w="915"/>
        <w:gridCol w:w="945"/>
        <w:gridCol w:w="88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2021年北戴河新区社会保险基金预算调整方案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10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城乡居民基本养老保险基金</w:t>
            </w:r>
          </w:p>
        </w:tc>
        <w:tc>
          <w:tcPr>
            <w:tcW w:w="105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机关事业养老保险基金</w:t>
            </w:r>
          </w:p>
        </w:tc>
        <w:tc>
          <w:tcPr>
            <w:tcW w:w="11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职工基本医疗保险基金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调整额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调整额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调整额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调整额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上年结余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5367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-5144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3777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4073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-5680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-5403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-5402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-10228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8146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6134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-11082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本级支出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-5548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6633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4478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-5402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上解上级支出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-5680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-5680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年末滚存结余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7887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5971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6231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-10228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8146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8386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5520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6134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11082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-11082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Times New Roman" w:hAnsi="Times New Roman" w:eastAsia="方正仿宋简体"/>
          <w:sz w:val="32"/>
          <w:szCs w:val="32"/>
          <w:highlight w:val="none"/>
        </w:rPr>
      </w:pPr>
    </w:p>
    <w:sectPr>
      <w:pgSz w:w="16838" w:h="11906" w:orient="landscape"/>
      <w:pgMar w:top="1588" w:right="2098" w:bottom="1474" w:left="1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5AB7"/>
    <w:rsid w:val="010556E9"/>
    <w:rsid w:val="05BB259E"/>
    <w:rsid w:val="089F48DC"/>
    <w:rsid w:val="0BBF1648"/>
    <w:rsid w:val="0EA62B05"/>
    <w:rsid w:val="0EAA69A2"/>
    <w:rsid w:val="10F9719C"/>
    <w:rsid w:val="12464D92"/>
    <w:rsid w:val="1DEA652B"/>
    <w:rsid w:val="21625AB7"/>
    <w:rsid w:val="2AAC4410"/>
    <w:rsid w:val="2BE7390D"/>
    <w:rsid w:val="34717235"/>
    <w:rsid w:val="36F11F56"/>
    <w:rsid w:val="383A7CEA"/>
    <w:rsid w:val="3A976C6F"/>
    <w:rsid w:val="3B664328"/>
    <w:rsid w:val="3B8834CB"/>
    <w:rsid w:val="457E613D"/>
    <w:rsid w:val="48D0469C"/>
    <w:rsid w:val="4C022CAA"/>
    <w:rsid w:val="52271FF1"/>
    <w:rsid w:val="53E70596"/>
    <w:rsid w:val="53F769E0"/>
    <w:rsid w:val="54220D68"/>
    <w:rsid w:val="5E2613CD"/>
    <w:rsid w:val="69A30BEE"/>
    <w:rsid w:val="69F40C42"/>
    <w:rsid w:val="6A365E8E"/>
    <w:rsid w:val="6CD86602"/>
    <w:rsid w:val="6FDF194B"/>
    <w:rsid w:val="77791D98"/>
    <w:rsid w:val="79D01DCF"/>
    <w:rsid w:val="7BF05955"/>
    <w:rsid w:val="7CD15417"/>
    <w:rsid w:val="7D7D34C6"/>
    <w:rsid w:val="7FB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简体" w:asciiTheme="minorAscii" w:hAnsiTheme="minorAscii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2021-12-09T01:10:00Z</dcterms:created>
  <dc:creator>简单幸福</dc:creator>
  <cp:lastModifiedBy>Administrator</cp:lastModifiedBy>
  <cp:lastPrinted>2022-02-09T05:58:32Z</cp:lastPrinted>
  <dcterms:modified xsi:type="dcterms:W3CDTF">2022-02-09T05:58:59Z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87E32A12DB9F4478BBE73E2C016515F4</vt:lpwstr>
  </property>
</Properties>
</file>