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w:t>
      </w:r>
      <w:bookmarkStart w:id="0" w:name="_GoBack"/>
      <w:bookmarkEnd w:id="0"/>
    </w:p>
    <w:p>
      <w:pPr>
        <w:pStyle w:val="4"/>
        <w:widowControl/>
        <w:shd w:val="clear" w:color="auto" w:fill="FFFFFF"/>
        <w:spacing w:before="0" w:beforeAutospacing="0" w:after="0" w:afterAutospacing="0" w:line="560" w:lineRule="exact"/>
        <w:jc w:val="both"/>
        <w:rPr>
          <w:rFonts w:hint="eastAsia" w:ascii="仿宋_GB2312" w:hAnsi="仿宋_GB2312" w:eastAsia="仿宋_GB2312" w:cs="仿宋_GB2312"/>
          <w:b w:val="0"/>
          <w:bCs/>
          <w:sz w:val="32"/>
          <w:szCs w:val="32"/>
          <w:lang w:val="en-US" w:eastAsia="zh-CN"/>
        </w:rPr>
      </w:pPr>
    </w:p>
    <w:p>
      <w:pPr>
        <w:pStyle w:val="4"/>
        <w:widowControl/>
        <w:shd w:val="clear" w:color="auto" w:fill="FFFFFF"/>
        <w:spacing w:before="0" w:beforeAutospacing="0" w:after="0" w:afterAutospacing="0" w:line="560" w:lineRule="exact"/>
        <w:jc w:val="center"/>
        <w:rPr>
          <w:rFonts w:hint="eastAsia" w:ascii="宋体" w:hAnsi="宋体" w:cs="仿宋_GB2312"/>
          <w:b/>
          <w:sz w:val="44"/>
          <w:szCs w:val="44"/>
        </w:rPr>
      </w:pPr>
      <w:r>
        <w:rPr>
          <w:rFonts w:hint="eastAsia" w:ascii="宋体" w:hAnsi="宋体" w:cs="仿宋_GB2312"/>
          <w:b/>
          <w:sz w:val="44"/>
          <w:szCs w:val="44"/>
        </w:rPr>
        <w:t>秦皇岛市海绵城市建设管理办法</w:t>
      </w:r>
    </w:p>
    <w:p>
      <w:pPr>
        <w:pStyle w:val="4"/>
        <w:widowControl/>
        <w:shd w:val="clear" w:color="auto" w:fill="FFFFFF"/>
        <w:spacing w:before="0" w:beforeAutospacing="0" w:after="0" w:afterAutospacing="0" w:line="560" w:lineRule="exact"/>
        <w:jc w:val="center"/>
        <w:rPr>
          <w:rFonts w:hint="eastAsia" w:ascii="宋体" w:hAnsi="宋体" w:eastAsia="宋体" w:cs="仿宋_GB2312"/>
          <w:b/>
          <w:color w:val="666666"/>
          <w:sz w:val="44"/>
          <w:szCs w:val="44"/>
          <w:shd w:val="clear" w:color="auto" w:fill="FFFFFF"/>
          <w:lang w:eastAsia="zh-CN"/>
        </w:rPr>
      </w:pPr>
      <w:r>
        <w:rPr>
          <w:rFonts w:hint="eastAsia" w:ascii="宋体" w:hAnsi="宋体" w:cs="仿宋_GB2312"/>
          <w:b/>
          <w:sz w:val="44"/>
          <w:szCs w:val="44"/>
          <w:lang w:eastAsia="zh-CN"/>
        </w:rPr>
        <w:t>（</w:t>
      </w:r>
      <w:r>
        <w:rPr>
          <w:rFonts w:hint="eastAsia" w:ascii="宋体" w:hAnsi="宋体" w:cs="仿宋_GB2312"/>
          <w:b/>
          <w:sz w:val="44"/>
          <w:szCs w:val="44"/>
          <w:lang w:val="en-US" w:eastAsia="zh-CN"/>
        </w:rPr>
        <w:t>征求意见稿</w:t>
      </w:r>
      <w:r>
        <w:rPr>
          <w:rFonts w:hint="eastAsia" w:ascii="宋体" w:hAnsi="宋体" w:cs="仿宋_GB2312"/>
          <w:b/>
          <w:sz w:val="44"/>
          <w:szCs w:val="44"/>
          <w:lang w:eastAsia="zh-CN"/>
        </w:rPr>
        <w:t>）</w:t>
      </w:r>
    </w:p>
    <w:p>
      <w:pPr>
        <w:pStyle w:val="4"/>
        <w:widowControl/>
        <w:shd w:val="clear" w:color="auto" w:fill="FFFFFF"/>
        <w:spacing w:before="0" w:beforeAutospacing="0" w:after="0" w:afterAutospacing="0" w:line="560" w:lineRule="exact"/>
        <w:jc w:val="center"/>
        <w:rPr>
          <w:rFonts w:ascii="黑体" w:hAnsi="黑体" w:eastAsia="黑体" w:cs="黑体"/>
          <w:sz w:val="32"/>
          <w:szCs w:val="32"/>
          <w:shd w:val="clear" w:color="auto" w:fill="FFFFFF"/>
        </w:rPr>
      </w:pPr>
    </w:p>
    <w:p>
      <w:pPr>
        <w:pStyle w:val="4"/>
        <w:widowControl/>
        <w:shd w:val="clear" w:color="auto" w:fill="FFFFFF"/>
        <w:spacing w:before="0" w:beforeAutospacing="0" w:after="0" w:afterAutospacing="0" w:line="560" w:lineRule="exact"/>
        <w:jc w:val="center"/>
        <w:rPr>
          <w:rFonts w:ascii="黑体" w:hAnsi="黑体" w:eastAsia="黑体" w:cs="黑体"/>
          <w:sz w:val="32"/>
          <w:szCs w:val="32"/>
        </w:rPr>
      </w:pPr>
      <w:r>
        <w:rPr>
          <w:rFonts w:hint="eastAsia" w:ascii="黑体" w:hAnsi="黑体" w:eastAsia="黑体" w:cs="黑体"/>
          <w:sz w:val="32"/>
          <w:szCs w:val="32"/>
          <w:shd w:val="clear" w:color="auto" w:fill="FFFFFF"/>
        </w:rPr>
        <w:t>第一章  总    则</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rPr>
      </w:pPr>
      <w:r>
        <w:rPr>
          <w:rFonts w:hint="eastAsia" w:ascii="仿宋_GB2312" w:hAnsi="仿宋_GB2312" w:eastAsia="仿宋_GB2312" w:cs="仿宋_GB2312"/>
          <w:sz w:val="32"/>
          <w:szCs w:val="32"/>
          <w:shd w:val="clear" w:color="auto" w:fill="FFFFFF"/>
        </w:rPr>
        <w:t>　　</w:t>
      </w:r>
      <w:r>
        <w:rPr>
          <w:rFonts w:hint="eastAsia" w:ascii="黑体" w:hAnsi="黑体" w:eastAsia="黑体" w:cs="仿宋_GB2312"/>
          <w:sz w:val="32"/>
          <w:szCs w:val="32"/>
          <w:shd w:val="clear" w:color="auto" w:fill="FFFFFF"/>
        </w:rPr>
        <w:t>第一条</w:t>
      </w:r>
      <w:r>
        <w:rPr>
          <w:rFonts w:hint="eastAsia" w:ascii="仿宋_GB2312" w:hAnsi="仿宋_GB2312" w:eastAsia="仿宋_GB2312" w:cs="仿宋_GB2312"/>
          <w:sz w:val="32"/>
          <w:szCs w:val="32"/>
          <w:shd w:val="clear" w:color="auto" w:fill="FFFFFF"/>
        </w:rPr>
        <w:t xml:space="preserve">  </w:t>
      </w:r>
      <w:r>
        <w:rPr>
          <w:rFonts w:hint="eastAsia" w:ascii="仿宋" w:hAnsi="仿宋" w:eastAsia="仿宋" w:cs="仿宋_GB2312"/>
          <w:sz w:val="32"/>
          <w:szCs w:val="32"/>
          <w:shd w:val="clear" w:color="auto" w:fill="FFFFFF"/>
        </w:rPr>
        <w:t>为加快</w:t>
      </w:r>
      <w:r>
        <w:rPr>
          <w:rFonts w:hint="eastAsia" w:ascii="仿宋" w:hAnsi="仿宋" w:eastAsia="仿宋" w:cs="仿宋_GB2312"/>
          <w:sz w:val="32"/>
          <w:szCs w:val="32"/>
        </w:rPr>
        <w:t>推进我市海绵城市建设，</w:t>
      </w:r>
      <w:r>
        <w:rPr>
          <w:rFonts w:hint="eastAsia" w:ascii="仿宋" w:hAnsi="仿宋" w:eastAsia="仿宋" w:cs="仿宋_GB2312"/>
          <w:sz w:val="32"/>
          <w:szCs w:val="32"/>
          <w:shd w:val="clear" w:color="auto" w:fill="FFFFFF"/>
        </w:rPr>
        <w:t>根据《中华人民共和国城乡规划法》、《</w:t>
      </w:r>
      <w:r>
        <w:rPr>
          <w:rFonts w:hint="eastAsia" w:ascii="宋体" w:hAnsi="宋体" w:eastAsia="宋体" w:cs="宋体"/>
          <w:kern w:val="0"/>
          <w:sz w:val="28"/>
          <w:szCs w:val="28"/>
          <w:lang w:eastAsia="zh-CN"/>
        </w:rPr>
        <w:t>国务院</w:t>
      </w:r>
      <w:r>
        <w:rPr>
          <w:rFonts w:hint="eastAsia" w:ascii="仿宋" w:hAnsi="仿宋" w:eastAsia="仿宋" w:cs="仿宋_GB2312"/>
          <w:sz w:val="32"/>
          <w:szCs w:val="32"/>
          <w:shd w:val="clear" w:color="auto" w:fill="FFFFFF"/>
        </w:rPr>
        <w:t>办公厅关于推进海绵城市建设的指导意见》（国办发「2015</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75号）、《河北省人民政府办公厅关于推进海绵城市建设的实施意见》（冀政办发[2015]48号）等相关法律法规和文件要求，结合我市实际，制定本办法。</w:t>
      </w:r>
    </w:p>
    <w:p>
      <w:pPr>
        <w:pStyle w:val="4"/>
        <w:widowControl/>
        <w:shd w:val="clear" w:color="auto" w:fill="FFFFFF"/>
        <w:spacing w:before="0" w:beforeAutospacing="0" w:after="0" w:afterAutospacing="0" w:line="560" w:lineRule="exact"/>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r>
        <w:rPr>
          <w:rFonts w:hint="eastAsia" w:ascii="黑体" w:hAnsi="黑体" w:eastAsia="黑体" w:cs="仿宋_GB2312"/>
          <w:sz w:val="32"/>
          <w:szCs w:val="32"/>
          <w:shd w:val="clear" w:color="auto" w:fill="FFFFFF"/>
        </w:rPr>
        <w:t xml:space="preserve">第二条  </w:t>
      </w:r>
      <w:r>
        <w:rPr>
          <w:rFonts w:hint="eastAsia" w:ascii="仿宋" w:hAnsi="仿宋" w:eastAsia="仿宋" w:cs="仿宋_GB2312"/>
          <w:sz w:val="32"/>
          <w:szCs w:val="32"/>
          <w:shd w:val="clear" w:color="auto" w:fill="FFFFFF"/>
        </w:rPr>
        <w:t>海绵城市是指通过加强城市规划建设管理,充分发挥建筑、道路和绿地、水系等生态系统对雨水的吸纳、蓄渗和缓释作用,有效控制雨水径流,实现自然积存、自然渗透、自然净化的城市发展方式。</w:t>
      </w:r>
    </w:p>
    <w:p>
      <w:pPr>
        <w:spacing w:line="560" w:lineRule="exact"/>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　　</w:t>
      </w:r>
      <w:r>
        <w:rPr>
          <w:rFonts w:hint="eastAsia" w:ascii="黑体" w:hAnsi="黑体" w:eastAsia="黑体" w:cs="仿宋_GB2312"/>
          <w:kern w:val="0"/>
          <w:sz w:val="32"/>
          <w:szCs w:val="32"/>
          <w:shd w:val="clear" w:color="auto" w:fill="FFFFFF"/>
        </w:rPr>
        <w:t xml:space="preserve">第三条 </w:t>
      </w:r>
      <w:r>
        <w:rPr>
          <w:rFonts w:hint="eastAsia" w:ascii="仿宋" w:hAnsi="仿宋" w:eastAsia="仿宋" w:cs="仿宋_GB2312"/>
          <w:kern w:val="0"/>
          <w:sz w:val="32"/>
          <w:szCs w:val="32"/>
          <w:shd w:val="clear" w:color="auto" w:fill="FFFFFF"/>
        </w:rPr>
        <w:t xml:space="preserve"> 本市城区范围内所有新、改、扩建的建筑与小区、道路、广场、公园绿地、水系等建设项目的规划、建设和管理活动适用本办法。各县可参照本办法执行。</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w:t>
      </w:r>
      <w:r>
        <w:rPr>
          <w:rFonts w:hint="eastAsia" w:ascii="黑体" w:hAnsi="黑体" w:eastAsia="黑体" w:cs="仿宋_GB2312"/>
          <w:sz w:val="32"/>
          <w:szCs w:val="32"/>
          <w:shd w:val="clear" w:color="auto" w:fill="FFFFFF"/>
        </w:rPr>
        <w:t xml:space="preserve">第四条  </w:t>
      </w:r>
      <w:r>
        <w:rPr>
          <w:rFonts w:hint="eastAsia" w:ascii="仿宋" w:hAnsi="仿宋" w:eastAsia="仿宋" w:cs="仿宋_GB2312"/>
          <w:sz w:val="32"/>
          <w:szCs w:val="32"/>
          <w:shd w:val="clear" w:color="auto" w:fill="FFFFFF"/>
        </w:rPr>
        <w:t>海绵城市建设遵循“生态优先、规划引领、因地制宜、统筹推进、政府引导”的原则,通过“渗、滞、蓄、净、用、排”等综合措施,最大限度地减少城市开发建设对生态环境的影响。</w:t>
      </w:r>
    </w:p>
    <w:p>
      <w:pPr>
        <w:pStyle w:val="4"/>
        <w:widowControl/>
        <w:shd w:val="clear" w:color="auto" w:fill="FFFFFF"/>
        <w:spacing w:before="0" w:beforeAutospacing="0" w:after="0" w:afterAutospacing="0" w:line="56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w:t>
      </w:r>
      <w:r>
        <w:rPr>
          <w:rFonts w:hint="eastAsia" w:ascii="黑体" w:hAnsi="黑体" w:eastAsia="黑体" w:cs="仿宋_GB2312"/>
          <w:sz w:val="32"/>
          <w:szCs w:val="32"/>
          <w:shd w:val="clear" w:color="auto" w:fill="FFFFFF"/>
        </w:rPr>
        <w:t xml:space="preserve">第五条  </w:t>
      </w:r>
      <w:r>
        <w:rPr>
          <w:rFonts w:hint="eastAsia" w:ascii="仿宋" w:hAnsi="仿宋" w:eastAsia="仿宋" w:cs="仿宋_GB2312"/>
          <w:sz w:val="32"/>
          <w:szCs w:val="32"/>
          <w:shd w:val="clear" w:color="auto" w:fill="FFFFFF"/>
        </w:rPr>
        <w:t>各级人民政府是推进海绵城市建设的责任主体，市人民政府成立海绵城市建设工作指挥部，负责统一部署、指导和协调全市海绵城市建设管理工作。指挥部办公室设在市城市管理综合行政执法局，负责指挥部日常工作。各县、区人民政府（含秦皇岛开发区、北戴河新区管委，下同）应建立海绵城市建设工作领导机构，统筹协调推进本行政区域内的海绵城市建设工作。</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市级职能部门负责监督管理和行业指导，实施市本级项目建设；县、区级职能部门负责具体落实行业管理和县、区级项目建设。</w:t>
      </w:r>
    </w:p>
    <w:p>
      <w:pPr>
        <w:pStyle w:val="4"/>
        <w:widowControl/>
        <w:shd w:val="clear" w:color="auto" w:fill="FFFFFF"/>
        <w:spacing w:before="0" w:beforeAutospacing="0" w:after="0" w:afterAutospacing="0" w:line="560"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第二章  职责分工</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 xml:space="preserve">第六条 </w:t>
      </w:r>
      <w:r>
        <w:rPr>
          <w:rFonts w:hint="eastAsia" w:ascii="仿宋" w:hAnsi="仿宋" w:eastAsia="仿宋" w:cs="仿宋_GB2312"/>
          <w:kern w:val="0"/>
          <w:sz w:val="32"/>
          <w:szCs w:val="32"/>
          <w:shd w:val="clear" w:color="auto" w:fill="FFFFFF"/>
        </w:rPr>
        <w:t xml:space="preserve"> 市城管执法部门是市级海绵城市建设行政主管部门，统筹全市海绵城市建设管理工作。负责牵头编制全市海绵城市建设实施方案、阶段性建设计划等；城市排水防涝、污水治理、园林绿化、道路维修等海绵城市建设相关项目的组织实施工作; 编制海绵城市建设地方规范标准和运营维护的相关技术规范。各县、区人民政府可根据本级部门分工，指定县区级海绵城市建设行政主管部门，履行相应职责。</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 xml:space="preserve">第七条  </w:t>
      </w:r>
      <w:r>
        <w:rPr>
          <w:rFonts w:hint="eastAsia" w:ascii="仿宋" w:hAnsi="仿宋" w:eastAsia="仿宋" w:cs="仿宋_GB2312"/>
          <w:kern w:val="0"/>
          <w:sz w:val="32"/>
          <w:szCs w:val="32"/>
          <w:shd w:val="clear" w:color="auto" w:fill="FFFFFF"/>
        </w:rPr>
        <w:t>财政部门负责政府投资项目的资金筹集、拨付、监督；中央和省专项资金的使用、拨付、管理、监督；PPP项目资金监督管理。</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第八条</w:t>
      </w:r>
      <w:r>
        <w:rPr>
          <w:rFonts w:hint="eastAsia" w:ascii="仿宋" w:hAnsi="仿宋" w:eastAsia="仿宋" w:cs="仿宋_GB2312"/>
          <w:kern w:val="0"/>
          <w:sz w:val="32"/>
          <w:szCs w:val="32"/>
          <w:shd w:val="clear" w:color="auto" w:fill="FFFFFF"/>
        </w:rPr>
        <w:t xml:space="preserve">  自然资源和规划部门负责在城市国土空间规划、控制性详细规划中落实海绵城市建设的相关内容和要求。并将海绵城市建设要求纳入出让用地规划条件、用地预审及项目选址意见书、建设用地规划许可证、工程规划许可证等审批管理；</w:t>
      </w:r>
      <w:r>
        <w:rPr>
          <w:rFonts w:ascii="仿宋" w:hAnsi="仿宋" w:eastAsia="仿宋" w:cs="仿宋_GB2312"/>
          <w:kern w:val="0"/>
          <w:sz w:val="32"/>
          <w:szCs w:val="32"/>
          <w:shd w:val="clear" w:color="auto" w:fill="FFFFFF"/>
        </w:rPr>
        <w:t xml:space="preserve"> </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第九条</w:t>
      </w:r>
      <w:r>
        <w:rPr>
          <w:rFonts w:hint="eastAsia" w:ascii="仿宋" w:hAnsi="仿宋" w:eastAsia="仿宋" w:cs="仿宋_GB2312"/>
          <w:kern w:val="0"/>
          <w:sz w:val="32"/>
          <w:szCs w:val="32"/>
          <w:shd w:val="clear" w:color="auto" w:fill="FFFFFF"/>
        </w:rPr>
        <w:t xml:space="preserve">  住房和城乡建设部门负责在城市道路等基础设施建设和房地产开发、老旧小区和城中村改造等项目建设过程中落实海绵城市建设相关要求；在施工图审查、质量监督、竣工验收等环节落实海绵城市建设的相关要求；制定本行业海绵城市设施建设及运营维护的相关技术规范</w:t>
      </w:r>
      <w:r>
        <w:rPr>
          <w:rFonts w:hint="eastAsia" w:ascii="微软雅黑" w:hAnsi="微软雅黑" w:eastAsia="微软雅黑" w:cs="宋体"/>
          <w:color w:val="333333"/>
          <w:spacing w:val="8"/>
          <w:kern w:val="0"/>
          <w:sz w:val="24"/>
        </w:rPr>
        <w:t>。</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第十条</w:t>
      </w:r>
      <w:r>
        <w:rPr>
          <w:rFonts w:hint="eastAsia" w:ascii="仿宋" w:hAnsi="仿宋" w:eastAsia="仿宋" w:cs="仿宋_GB2312"/>
          <w:kern w:val="0"/>
          <w:sz w:val="32"/>
          <w:szCs w:val="32"/>
          <w:shd w:val="clear" w:color="auto" w:fill="FFFFFF"/>
        </w:rPr>
        <w:t xml:space="preserve">  水务部门负责对照海绵城市建设标准,做好城市水系治理工程项目建设任务;将海绵城市建设纳入“河长制”和蓝线管理。</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第十一条</w:t>
      </w:r>
      <w:r>
        <w:rPr>
          <w:rFonts w:hint="eastAsia" w:ascii="仿宋" w:hAnsi="仿宋" w:eastAsia="仿宋" w:cs="仿宋_GB2312"/>
          <w:kern w:val="0"/>
          <w:sz w:val="32"/>
          <w:szCs w:val="32"/>
          <w:shd w:val="clear" w:color="auto" w:fill="FFFFFF"/>
        </w:rPr>
        <w:t xml:space="preserve">  行政审批部门负责在建设项目的立项、施工许可、竣工验收等过程中落实海绵城市建设相关要求。</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黑体" w:hAnsi="黑体" w:eastAsia="黑体" w:cs="仿宋_GB2312"/>
          <w:kern w:val="0"/>
          <w:sz w:val="32"/>
          <w:szCs w:val="32"/>
          <w:shd w:val="clear" w:color="auto" w:fill="FFFFFF"/>
        </w:rPr>
        <w:t>第十二条</w:t>
      </w:r>
      <w:r>
        <w:rPr>
          <w:rFonts w:hint="eastAsia" w:ascii="仿宋" w:hAnsi="仿宋" w:eastAsia="仿宋" w:cs="仿宋_GB2312"/>
          <w:kern w:val="0"/>
          <w:sz w:val="32"/>
          <w:szCs w:val="32"/>
          <w:shd w:val="clear" w:color="auto" w:fill="FFFFFF"/>
        </w:rPr>
        <w:t xml:space="preserve">  发展改革、教育、生态环境等其他市政府有关部门按照职责分工，共同做好海绵城市建设工作。</w:t>
      </w:r>
    </w:p>
    <w:p>
      <w:pPr>
        <w:spacing w:line="560" w:lineRule="exact"/>
        <w:ind w:firstLine="640" w:firstLineChars="200"/>
        <w:rPr>
          <w:rFonts w:ascii="仿宋" w:hAnsi="仿宋" w:eastAsia="仿宋" w:cs="仿宋_GB2312"/>
          <w:kern w:val="0"/>
          <w:sz w:val="32"/>
          <w:szCs w:val="32"/>
          <w:shd w:val="clear" w:color="auto" w:fill="FFFFFF"/>
        </w:rPr>
      </w:pPr>
      <w:r>
        <w:rPr>
          <w:rFonts w:hint="eastAsia" w:ascii="仿宋" w:hAnsi="仿宋" w:eastAsia="仿宋" w:cs="仿宋_GB2312"/>
          <w:kern w:val="0"/>
          <w:sz w:val="32"/>
          <w:szCs w:val="32"/>
          <w:shd w:val="clear" w:color="auto" w:fill="FFFFFF"/>
        </w:rPr>
        <w:t>各县、区政府按照市海绵城市建设专项规划要求,制定本辖区的海绵城市建设实施方案、专项规划和阶段性建设计划等，在新、改、扩建项目中落实海绵城市建设指标和任务要求。</w:t>
      </w:r>
    </w:p>
    <w:p>
      <w:pPr>
        <w:pStyle w:val="4"/>
        <w:widowControl/>
        <w:shd w:val="clear" w:color="auto" w:fill="FFFFFF"/>
        <w:spacing w:before="0" w:beforeAutospacing="0" w:after="0" w:afterAutospacing="0" w:line="560"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第三章  规划管理</w:t>
      </w:r>
    </w:p>
    <w:p>
      <w:pPr>
        <w:pStyle w:val="4"/>
        <w:widowControl/>
        <w:shd w:val="clear" w:color="auto" w:fill="FFFFFF"/>
        <w:spacing w:before="0" w:beforeAutospacing="0" w:after="0" w:afterAutospacing="0" w:line="560" w:lineRule="exact"/>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　　第十三条 </w:t>
      </w:r>
      <w:r>
        <w:rPr>
          <w:rFonts w:hint="eastAsia" w:ascii="仿宋" w:hAnsi="仿宋" w:eastAsia="仿宋" w:cs="仿宋_GB2312"/>
          <w:sz w:val="32"/>
          <w:szCs w:val="32"/>
          <w:shd w:val="clear" w:color="auto" w:fill="FFFFFF"/>
        </w:rPr>
        <w:t xml:space="preserve"> 国土空间规划、相关专项（专业）规划及详细规划应全面落实海绵城市建设理念,科学划定城市蓝线和绿线,严格落实海绵城市指标要求。</w:t>
      </w:r>
    </w:p>
    <w:p>
      <w:pPr>
        <w:pStyle w:val="4"/>
        <w:widowControl/>
        <w:shd w:val="clear" w:color="auto" w:fill="FFFFFF"/>
        <w:spacing w:before="0" w:beforeAutospacing="0" w:after="0" w:afterAutospacing="0" w:line="56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w:t>
      </w:r>
      <w:r>
        <w:rPr>
          <w:rFonts w:hint="eastAsia" w:ascii="黑体" w:hAnsi="黑体" w:eastAsia="黑体" w:cs="仿宋_GB2312"/>
          <w:sz w:val="32"/>
          <w:szCs w:val="32"/>
          <w:shd w:val="clear" w:color="auto" w:fill="FFFFFF"/>
        </w:rPr>
        <w:t xml:space="preserve">第十四条  </w:t>
      </w:r>
      <w:r>
        <w:rPr>
          <w:rFonts w:hint="eastAsia" w:ascii="仿宋" w:hAnsi="仿宋" w:eastAsia="仿宋" w:cs="仿宋_GB2312"/>
          <w:sz w:val="32"/>
          <w:szCs w:val="32"/>
          <w:shd w:val="clear" w:color="auto" w:fill="FFFFFF"/>
        </w:rPr>
        <w:t>应将海绵城市建设专项规划确定的控制目标和指标依法纳入控制性详细规划和修建性详细规划,进一步分解和细化各地块雨水年径流总量控制率等相关指标。</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第十五条  </w:t>
      </w:r>
      <w:r>
        <w:rPr>
          <w:rFonts w:hint="eastAsia" w:ascii="仿宋" w:hAnsi="仿宋" w:eastAsia="仿宋" w:cs="仿宋_GB2312"/>
          <w:sz w:val="32"/>
          <w:szCs w:val="32"/>
          <w:shd w:val="clear" w:color="auto" w:fill="FFFFFF"/>
        </w:rPr>
        <w:t>建设项目在土地出让或规划阶段应由自然资源和规划部门根据海绵城市建设专项规划要求提出</w:t>
      </w:r>
      <w:r>
        <w:rPr>
          <w:rFonts w:ascii="仿宋" w:hAnsi="仿宋" w:eastAsia="仿宋" w:cs="仿宋_GB2312"/>
          <w:sz w:val="32"/>
          <w:szCs w:val="32"/>
          <w:shd w:val="clear" w:color="auto" w:fill="FFFFFF"/>
        </w:rPr>
        <w:t>雨水年径流总量控制率等海绵城市基本</w:t>
      </w:r>
      <w:r>
        <w:rPr>
          <w:rFonts w:hint="eastAsia" w:ascii="仿宋" w:hAnsi="仿宋" w:eastAsia="仿宋" w:cs="仿宋_GB2312"/>
          <w:sz w:val="32"/>
          <w:szCs w:val="32"/>
          <w:shd w:val="clear" w:color="auto" w:fill="FFFFFF"/>
        </w:rPr>
        <w:t>规划</w:t>
      </w:r>
      <w:r>
        <w:rPr>
          <w:rFonts w:ascii="仿宋" w:hAnsi="仿宋" w:eastAsia="仿宋" w:cs="仿宋_GB2312"/>
          <w:sz w:val="32"/>
          <w:szCs w:val="32"/>
          <w:shd w:val="clear" w:color="auto" w:fill="FFFFFF"/>
        </w:rPr>
        <w:t>指标要求</w:t>
      </w:r>
      <w:r>
        <w:rPr>
          <w:rFonts w:hint="eastAsia" w:ascii="仿宋" w:hAnsi="仿宋" w:eastAsia="仿宋" w:cs="仿宋_GB2312"/>
          <w:sz w:val="32"/>
          <w:szCs w:val="32"/>
          <w:shd w:val="clear" w:color="auto" w:fill="FFFFFF"/>
        </w:rPr>
        <w:t>。海绵城市规划指标原则上不允许调整，如因特殊情况确需调整的，按照法定程序予以调整，调整应保证项目所在地排水分区年径流总量控制率总体保持不变。</w:t>
      </w:r>
    </w:p>
    <w:p>
      <w:pPr>
        <w:pStyle w:val="4"/>
        <w:widowControl/>
        <w:shd w:val="clear" w:color="auto" w:fill="FFFFFF"/>
        <w:spacing w:before="0" w:beforeAutospacing="0" w:after="0" w:afterAutospacing="0" w:line="560"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第四章  建设管理</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第十六条  </w:t>
      </w:r>
      <w:r>
        <w:rPr>
          <w:rFonts w:ascii="仿宋" w:hAnsi="仿宋" w:eastAsia="仿宋" w:cs="仿宋_GB2312"/>
          <w:sz w:val="32"/>
          <w:szCs w:val="32"/>
          <w:shd w:val="clear" w:color="auto" w:fill="FFFFFF"/>
        </w:rPr>
        <w:t>新、改、扩建项目</w:t>
      </w:r>
      <w:r>
        <w:rPr>
          <w:rFonts w:hint="eastAsia" w:ascii="仿宋" w:hAnsi="仿宋" w:eastAsia="仿宋" w:cs="仿宋_GB2312"/>
          <w:sz w:val="32"/>
          <w:szCs w:val="32"/>
          <w:shd w:val="clear" w:color="auto" w:fill="FFFFFF"/>
        </w:rPr>
        <w:t>应当按照海绵城市专项规划、规划条件及相关技术标准，配套建设海绵设施。</w:t>
      </w:r>
      <w:r>
        <w:rPr>
          <w:rFonts w:ascii="仿宋" w:hAnsi="仿宋" w:eastAsia="仿宋" w:cs="仿宋_GB2312"/>
          <w:sz w:val="32"/>
          <w:szCs w:val="32"/>
          <w:shd w:val="clear" w:color="auto" w:fill="FFFFFF"/>
        </w:rPr>
        <w:t>海绵设施与建设项目主体工程</w:t>
      </w:r>
      <w:r>
        <w:rPr>
          <w:rFonts w:hint="eastAsia" w:ascii="仿宋" w:hAnsi="仿宋" w:eastAsia="仿宋" w:cs="仿宋_GB2312"/>
          <w:sz w:val="32"/>
          <w:szCs w:val="32"/>
          <w:shd w:val="clear" w:color="auto" w:fill="FFFFFF"/>
        </w:rPr>
        <w:t>应</w:t>
      </w:r>
      <w:r>
        <w:rPr>
          <w:rFonts w:ascii="仿宋" w:hAnsi="仿宋" w:eastAsia="仿宋" w:cs="仿宋_GB2312"/>
          <w:sz w:val="32"/>
          <w:szCs w:val="32"/>
          <w:shd w:val="clear" w:color="auto" w:fill="FFFFFF"/>
        </w:rPr>
        <w:t>同步规划</w:t>
      </w:r>
      <w:r>
        <w:rPr>
          <w:rFonts w:hint="eastAsia" w:ascii="仿宋" w:hAnsi="仿宋" w:eastAsia="仿宋" w:cs="仿宋_GB2312"/>
          <w:sz w:val="32"/>
          <w:szCs w:val="32"/>
          <w:shd w:val="clear" w:color="auto" w:fill="FFFFFF"/>
        </w:rPr>
        <w:t>、同步</w:t>
      </w:r>
      <w:r>
        <w:rPr>
          <w:rFonts w:ascii="仿宋" w:hAnsi="仿宋" w:eastAsia="仿宋" w:cs="仿宋_GB2312"/>
          <w:sz w:val="32"/>
          <w:szCs w:val="32"/>
          <w:shd w:val="clear" w:color="auto" w:fill="FFFFFF"/>
        </w:rPr>
        <w:t>设计、同步施工、同步验收、同步</w:t>
      </w:r>
      <w:r>
        <w:rPr>
          <w:rFonts w:hint="eastAsia" w:ascii="仿宋" w:hAnsi="仿宋" w:eastAsia="仿宋" w:cs="仿宋_GB2312"/>
          <w:sz w:val="32"/>
          <w:szCs w:val="32"/>
          <w:shd w:val="clear" w:color="auto" w:fill="FFFFFF"/>
        </w:rPr>
        <w:t>使用，建设费用纳入</w:t>
      </w:r>
      <w:r>
        <w:fldChar w:fldCharType="begin"/>
      </w:r>
      <w:r>
        <w:instrText xml:space="preserve"> HYPERLINK "https://baike.sogou.com/lemma/ShowInnerLink.htm?lemmaId=75651876&amp;ss_c=ssc.citiao.link" \t "_blank" </w:instrText>
      </w:r>
      <w:r>
        <w:fldChar w:fldCharType="separate"/>
      </w:r>
      <w:r>
        <w:rPr>
          <w:rFonts w:hint="eastAsia" w:ascii="仿宋" w:hAnsi="仿宋" w:eastAsia="仿宋" w:cs="仿宋_GB2312"/>
          <w:sz w:val="32"/>
          <w:szCs w:val="32"/>
          <w:shd w:val="clear" w:color="auto" w:fill="FFFFFF"/>
        </w:rPr>
        <w:t>建设项目概算</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第十七条  </w:t>
      </w:r>
      <w:r>
        <w:rPr>
          <w:rFonts w:hint="eastAsia" w:ascii="仿宋" w:hAnsi="仿宋" w:eastAsia="仿宋" w:cs="仿宋_GB2312"/>
          <w:sz w:val="32"/>
          <w:szCs w:val="32"/>
          <w:shd w:val="clear" w:color="auto" w:fill="FFFFFF"/>
        </w:rPr>
        <w:t>市、区相关部门应统筹新、老城区海绵城市建设工作。新城区（含城市新区、各类园区、成片开发区等）要全面落实海绵城市建设要求;老城区要结合市政设施改造、城镇棚户区和危旧房改造、老旧小区环境提升改造等, 统筹有序推进海绵城市建设，避免大拆大建。</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第十八条 </w:t>
      </w:r>
      <w:r>
        <w:rPr>
          <w:rFonts w:hint="eastAsia" w:ascii="仿宋" w:hAnsi="仿宋" w:eastAsia="仿宋" w:cs="仿宋_GB2312"/>
          <w:sz w:val="32"/>
          <w:szCs w:val="32"/>
          <w:shd w:val="clear" w:color="auto" w:fill="FFFFFF"/>
        </w:rPr>
        <w:t xml:space="preserve"> 建设项目应在规划、立项、设计、建设、验收等各个阶段落实海绵城市建设要求。建设单位应</w:t>
      </w:r>
      <w:r>
        <w:rPr>
          <w:rFonts w:ascii="仿宋" w:hAnsi="仿宋" w:eastAsia="仿宋" w:cs="仿宋_GB2312"/>
          <w:sz w:val="32"/>
          <w:szCs w:val="32"/>
          <w:shd w:val="clear" w:color="auto" w:fill="FFFFFF"/>
        </w:rPr>
        <w:t>严格按照规划条件要求</w:t>
      </w:r>
      <w:r>
        <w:rPr>
          <w:rFonts w:hint="eastAsia" w:ascii="仿宋" w:hAnsi="仿宋" w:eastAsia="仿宋" w:cs="仿宋_GB2312"/>
          <w:sz w:val="32"/>
          <w:szCs w:val="32"/>
          <w:shd w:val="clear" w:color="auto" w:fill="FFFFFF"/>
        </w:rPr>
        <w:t>，组织</w:t>
      </w:r>
      <w:r>
        <w:rPr>
          <w:rFonts w:ascii="仿宋" w:hAnsi="仿宋" w:eastAsia="仿宋" w:cs="仿宋_GB2312"/>
          <w:sz w:val="32"/>
          <w:szCs w:val="32"/>
          <w:shd w:val="clear" w:color="auto" w:fill="FFFFFF"/>
        </w:rPr>
        <w:t>开展海绵城市方案设计，</w:t>
      </w:r>
      <w:r>
        <w:rPr>
          <w:rFonts w:hint="eastAsia" w:ascii="仿宋" w:hAnsi="仿宋" w:eastAsia="仿宋" w:cs="仿宋_GB2312"/>
          <w:sz w:val="32"/>
          <w:szCs w:val="32"/>
          <w:shd w:val="clear" w:color="auto" w:fill="FFFFFF"/>
        </w:rPr>
        <w:t>并在立项、施工图设计等</w:t>
      </w:r>
      <w:r>
        <w:rPr>
          <w:rFonts w:ascii="仿宋" w:hAnsi="仿宋" w:eastAsia="仿宋" w:cs="仿宋_GB2312"/>
          <w:sz w:val="32"/>
          <w:szCs w:val="32"/>
          <w:shd w:val="clear" w:color="auto" w:fill="FFFFFF"/>
        </w:rPr>
        <w:t>各设计阶段增加海绵城市设计专篇</w:t>
      </w:r>
      <w:r>
        <w:rPr>
          <w:rFonts w:hint="eastAsia" w:ascii="仿宋" w:hAnsi="仿宋" w:eastAsia="仿宋" w:cs="仿宋_GB2312"/>
          <w:sz w:val="32"/>
          <w:szCs w:val="32"/>
          <w:shd w:val="clear" w:color="auto" w:fill="FFFFFF"/>
        </w:rPr>
        <w:t>，专篇设计文件应满足相应阶段深度要求。</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第十九条  </w:t>
      </w:r>
      <w:r>
        <w:rPr>
          <w:rFonts w:ascii="仿宋" w:hAnsi="仿宋" w:eastAsia="仿宋" w:cs="仿宋_GB2312"/>
          <w:sz w:val="32"/>
          <w:szCs w:val="32"/>
          <w:shd w:val="clear" w:color="auto" w:fill="FFFFFF"/>
        </w:rPr>
        <w:t>审图机构对建设项目进行施工图审查时，应严格按照国家、省、市的相关规范和技术要求，一并审查海绵城市设计内容，在施工图审查意见书中明确海绵城市设计内容的审查结论，达不到海绵城市技术要求的，不得出具施工图审查合格证。</w:t>
      </w:r>
    </w:p>
    <w:p>
      <w:pPr>
        <w:pStyle w:val="4"/>
        <w:widowControl/>
        <w:shd w:val="clear" w:color="auto" w:fill="FFFFFF"/>
        <w:spacing w:before="0" w:beforeAutospacing="0" w:after="0" w:afterAutospacing="0" w:line="56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w:t>
      </w:r>
      <w:r>
        <w:rPr>
          <w:rFonts w:hint="eastAsia" w:ascii="黑体" w:hAnsi="黑体" w:eastAsia="黑体" w:cs="仿宋_GB2312"/>
          <w:sz w:val="32"/>
          <w:szCs w:val="32"/>
          <w:shd w:val="clear" w:color="auto" w:fill="FFFFFF"/>
        </w:rPr>
        <w:t xml:space="preserve">第二十条 </w:t>
      </w:r>
      <w:r>
        <w:rPr>
          <w:rFonts w:hint="eastAsia" w:ascii="仿宋" w:hAnsi="仿宋" w:eastAsia="仿宋" w:cs="仿宋_GB2312"/>
          <w:sz w:val="32"/>
          <w:szCs w:val="32"/>
          <w:shd w:val="clear" w:color="auto" w:fill="FFFFFF"/>
        </w:rPr>
        <w:t xml:space="preserve"> 建设项目施工阶段,施工单位应当严格按照施工图设计文件和省、市相关规范、标准要求进行施工，并编制完整的海绵设施施工技术资料。</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监理单位应当严格按照相关法律、法规的规定履行工程监理职责，对建设项目配套的海绵设施建设加强监管。</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质量、安全监督机构应当将海绵城市相关内容纳入监督范畴，督促各方责任主体严格履职，确保工程质量和安全。</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第二十一条 </w:t>
      </w:r>
      <w:r>
        <w:rPr>
          <w:rFonts w:hint="eastAsia" w:ascii="仿宋" w:hAnsi="仿宋" w:eastAsia="仿宋" w:cs="仿宋_GB2312"/>
          <w:sz w:val="32"/>
          <w:szCs w:val="32"/>
          <w:shd w:val="clear" w:color="auto" w:fill="FFFFFF"/>
        </w:rPr>
        <w:t xml:space="preserve"> 建设项目竣工验收时，应严格按照国家、省、市相关规范标准进行，同步进行海绵设施验收，并注明海绵设施验收结论。</w:t>
      </w:r>
      <w:r>
        <w:rPr>
          <w:rFonts w:ascii="仿宋" w:hAnsi="仿宋" w:eastAsia="仿宋" w:cs="仿宋_GB2312"/>
          <w:sz w:val="32"/>
          <w:szCs w:val="32"/>
          <w:shd w:val="clear" w:color="auto" w:fill="FFFFFF"/>
        </w:rPr>
        <w:t>对于未按审查通过的施工图设计文件</w:t>
      </w:r>
      <w:r>
        <w:rPr>
          <w:rFonts w:hint="eastAsia" w:ascii="仿宋" w:hAnsi="仿宋" w:eastAsia="仿宋" w:cs="仿宋_GB2312"/>
          <w:sz w:val="32"/>
          <w:szCs w:val="32"/>
          <w:shd w:val="clear" w:color="auto" w:fill="FFFFFF"/>
        </w:rPr>
        <w:t>建设</w:t>
      </w:r>
      <w:r>
        <w:rPr>
          <w:rFonts w:ascii="仿宋" w:hAnsi="仿宋" w:eastAsia="仿宋" w:cs="仿宋_GB2312"/>
          <w:sz w:val="32"/>
          <w:szCs w:val="32"/>
          <w:shd w:val="clear" w:color="auto" w:fill="FFFFFF"/>
        </w:rPr>
        <w:t>海绵</w:t>
      </w:r>
      <w:r>
        <w:rPr>
          <w:rFonts w:hint="eastAsia" w:ascii="仿宋" w:hAnsi="仿宋" w:eastAsia="仿宋" w:cs="仿宋_GB2312"/>
          <w:sz w:val="32"/>
          <w:szCs w:val="32"/>
          <w:shd w:val="clear" w:color="auto" w:fill="FFFFFF"/>
        </w:rPr>
        <w:t>设施</w:t>
      </w:r>
      <w:r>
        <w:rPr>
          <w:rFonts w:ascii="仿宋" w:hAnsi="仿宋" w:eastAsia="仿宋" w:cs="仿宋_GB2312"/>
          <w:sz w:val="32"/>
          <w:szCs w:val="32"/>
          <w:shd w:val="clear" w:color="auto" w:fill="FFFFFF"/>
        </w:rPr>
        <w:t>的</w:t>
      </w:r>
      <w:r>
        <w:rPr>
          <w:rFonts w:hint="eastAsia" w:ascii="仿宋" w:hAnsi="仿宋" w:eastAsia="仿宋" w:cs="仿宋_GB2312"/>
          <w:sz w:val="32"/>
          <w:szCs w:val="32"/>
          <w:shd w:val="clear" w:color="auto" w:fill="FFFFFF"/>
        </w:rPr>
        <w:t>，或验收不合格的，</w:t>
      </w:r>
      <w:r>
        <w:rPr>
          <w:rFonts w:ascii="仿宋" w:hAnsi="仿宋" w:eastAsia="仿宋" w:cs="仿宋_GB2312"/>
          <w:sz w:val="32"/>
          <w:szCs w:val="32"/>
          <w:shd w:val="clear" w:color="auto" w:fill="FFFFFF"/>
        </w:rPr>
        <w:t>不予受理验收备案申请</w:t>
      </w:r>
      <w:r>
        <w:rPr>
          <w:rFonts w:hint="eastAsia" w:ascii="仿宋" w:hAnsi="仿宋" w:eastAsia="仿宋" w:cs="仿宋_GB2312"/>
          <w:sz w:val="32"/>
          <w:szCs w:val="32"/>
          <w:shd w:val="clear" w:color="auto" w:fill="FFFFFF"/>
        </w:rPr>
        <w:t>，设施不得投入使用。</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ascii="黑体" w:hAnsi="黑体" w:eastAsia="黑体" w:cs="仿宋_GB2312"/>
          <w:sz w:val="32"/>
          <w:szCs w:val="32"/>
          <w:shd w:val="clear" w:color="auto" w:fill="FFFFFF"/>
        </w:rPr>
        <w:t>第二十二条</w:t>
      </w:r>
      <w:r>
        <w:rPr>
          <w:rFonts w:hint="eastAsia" w:ascii="黑体" w:hAnsi="黑体" w:eastAsia="黑体" w:cs="仿宋_GB2312"/>
          <w:sz w:val="32"/>
          <w:szCs w:val="32"/>
          <w:shd w:val="clear" w:color="auto" w:fill="FFFFFF"/>
        </w:rPr>
        <w:t xml:space="preserve">  </w:t>
      </w:r>
      <w:r>
        <w:rPr>
          <w:rFonts w:hint="eastAsia" w:ascii="仿宋" w:hAnsi="仿宋" w:eastAsia="仿宋" w:cs="仿宋_GB2312"/>
          <w:sz w:val="32"/>
          <w:szCs w:val="32"/>
          <w:shd w:val="clear" w:color="auto" w:fill="FFFFFF"/>
        </w:rPr>
        <w:t>按照海绵城市建设项目资金来源，新建项目分别实行审批、核准或者备案制度。建设项目因海绵城市建设需要进行变更的，由原审批部门负责指导和审批。</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ascii="黑体" w:hAnsi="黑体" w:eastAsia="黑体" w:cs="仿宋_GB2312"/>
          <w:sz w:val="32"/>
          <w:szCs w:val="32"/>
          <w:shd w:val="clear" w:color="auto" w:fill="FFFFFF"/>
        </w:rPr>
        <w:t>第二十</w:t>
      </w:r>
      <w:r>
        <w:rPr>
          <w:rFonts w:hint="eastAsia" w:ascii="黑体" w:hAnsi="黑体" w:eastAsia="黑体" w:cs="仿宋_GB2312"/>
          <w:sz w:val="32"/>
          <w:szCs w:val="32"/>
          <w:shd w:val="clear" w:color="auto" w:fill="FFFFFF"/>
        </w:rPr>
        <w:t>三</w:t>
      </w:r>
      <w:r>
        <w:rPr>
          <w:rFonts w:ascii="黑体" w:hAnsi="黑体" w:eastAsia="黑体" w:cs="仿宋_GB2312"/>
          <w:sz w:val="32"/>
          <w:szCs w:val="32"/>
          <w:shd w:val="clear" w:color="auto" w:fill="FFFFFF"/>
        </w:rPr>
        <w:t>条</w:t>
      </w:r>
      <w:r>
        <w:rPr>
          <w:rFonts w:hint="eastAsia" w:ascii="仿宋" w:hAnsi="仿宋" w:eastAsia="仿宋" w:cs="仿宋_GB2312"/>
          <w:sz w:val="32"/>
          <w:szCs w:val="32"/>
          <w:shd w:val="clear" w:color="auto" w:fill="FFFFFF"/>
        </w:rPr>
        <w:t>　新、改、扩建项目应当按照下列要求配套建设海绵设施：</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（一）建筑与小区建设应当因地制宜采取屋顶绿化、雨水调蓄与收集利用、微地形等措施，提高建筑与小区的雨水积存和蓄滞能力。</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（二）道路与广场建设应当改变雨水快排、直排的传统做法，增强道路绿化带对雨水的消纳功能，在</w:t>
      </w:r>
      <w:r>
        <w:fldChar w:fldCharType="begin"/>
      </w:r>
      <w:r>
        <w:instrText xml:space="preserve"> HYPERLINK "https://baike.sogou.com/lemma/ShowInnerLink.htm?lemmaId=10686822&amp;ss_c=ssc.citiao.link" \t "_blank" </w:instrText>
      </w:r>
      <w:r>
        <w:fldChar w:fldCharType="separate"/>
      </w:r>
      <w:r>
        <w:rPr>
          <w:rFonts w:hint="eastAsia" w:ascii="仿宋" w:hAnsi="仿宋" w:eastAsia="仿宋" w:cs="仿宋_GB2312"/>
          <w:sz w:val="32"/>
          <w:szCs w:val="32"/>
          <w:shd w:val="clear" w:color="auto" w:fill="FFFFFF"/>
        </w:rPr>
        <w:t>非机动车道</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、人行道、停车场、广场等使用透水铺装，推行道路与广场雨水的收集、净化和利用，减轻对市政排水系统的压力。</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（三）公园和绿地建设应当采取建设</w:t>
      </w:r>
      <w:r>
        <w:fldChar w:fldCharType="begin"/>
      </w:r>
      <w:r>
        <w:instrText xml:space="preserve"> HYPERLINK "https://baike.sogou.com/lemma/ShowInnerLink.htm?lemmaId=72564569&amp;ss_c=ssc.citiao.link" \t "_blank" </w:instrText>
      </w:r>
      <w:r>
        <w:fldChar w:fldCharType="separate"/>
      </w:r>
      <w:r>
        <w:rPr>
          <w:rFonts w:hint="eastAsia" w:ascii="仿宋" w:hAnsi="仿宋" w:eastAsia="仿宋" w:cs="仿宋_GB2312"/>
          <w:sz w:val="32"/>
          <w:szCs w:val="32"/>
          <w:shd w:val="clear" w:color="auto" w:fill="FFFFFF"/>
        </w:rPr>
        <w:t>雨水花园</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、下凹式绿地、人工湿地等措施，增强公园和绿地系统的城市海绵体功能，消纳自身雨水，并为蓄滞周边区域雨水提供空间。</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（四）城市排水防涝设施建设应当改造和消除城市易涝点，实施雨污分流，控制初期雨水污染，排入自然水体的雨水应当经过岸线净化；沿岸截流干管的建设和改造应当控制渗漏和</w:t>
      </w:r>
      <w:r>
        <w:fldChar w:fldCharType="begin"/>
      </w:r>
      <w:r>
        <w:instrText xml:space="preserve"> HYPERLINK "https://baike.sogou.com/lemma/ShowInnerLink.htm?lemmaId=72599752&amp;ss_c=ssc.citiao.link" \t "_blank" </w:instrText>
      </w:r>
      <w:r>
        <w:fldChar w:fldCharType="separate"/>
      </w:r>
      <w:r>
        <w:rPr>
          <w:rFonts w:hint="eastAsia" w:ascii="仿宋" w:hAnsi="仿宋" w:eastAsia="仿宋" w:cs="仿宋_GB2312"/>
          <w:sz w:val="32"/>
          <w:szCs w:val="32"/>
          <w:shd w:val="clear" w:color="auto" w:fill="FFFFFF"/>
        </w:rPr>
        <w:t>合流制</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污水溢流污染。处理好城市防洪排涝体系与海绵城市建设各项措施的衔接关系，增强雨洪径流调控能力。</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（五）城市坑塘、河湖、湿地等水体的整治应当注重恢复和保护水系的自然连通，因势利导改造</w:t>
      </w:r>
      <w:r>
        <w:fldChar w:fldCharType="begin"/>
      </w:r>
      <w:r>
        <w:instrText xml:space="preserve"> HYPERLINK "https://baike.sogou.com/lemma/ShowInnerLink.htm?lemmaId=7926351&amp;ss_c=ssc.citiao.link" \t "_blank" </w:instrText>
      </w:r>
      <w:r>
        <w:fldChar w:fldCharType="separate"/>
      </w:r>
      <w:r>
        <w:rPr>
          <w:rFonts w:hint="eastAsia" w:ascii="仿宋" w:hAnsi="仿宋" w:eastAsia="仿宋" w:cs="仿宋_GB2312"/>
          <w:sz w:val="32"/>
          <w:szCs w:val="32"/>
          <w:shd w:val="clear" w:color="auto" w:fill="FFFFFF"/>
        </w:rPr>
        <w:t>渠化</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河道，重塑自然弯曲河岸线，营造自然深潭浅滩和泛洪漫滩，实施生态修复，改善水环境质量，不得采取填湖造地、截弯取直、河道硬化等破坏</w:t>
      </w:r>
      <w:r>
        <w:fldChar w:fldCharType="begin"/>
      </w:r>
      <w:r>
        <w:instrText xml:space="preserve"> HYPERLINK "https://baike.sogou.com/lemma/ShowInnerLink.htm?lemmaId=75790992&amp;ss_c=ssc.citiao.link" \t "_blank" </w:instrText>
      </w:r>
      <w:r>
        <w:fldChar w:fldCharType="separate"/>
      </w:r>
      <w:r>
        <w:rPr>
          <w:rFonts w:hint="eastAsia" w:ascii="仿宋" w:hAnsi="仿宋" w:eastAsia="仿宋" w:cs="仿宋_GB2312"/>
          <w:sz w:val="32"/>
          <w:szCs w:val="32"/>
          <w:shd w:val="clear" w:color="auto" w:fill="FFFFFF"/>
        </w:rPr>
        <w:t>水生态环境</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的措施。</w:t>
      </w:r>
    </w:p>
    <w:p>
      <w:pPr>
        <w:pStyle w:val="4"/>
        <w:widowControl/>
        <w:shd w:val="clear" w:color="auto" w:fill="FFFFFF"/>
        <w:spacing w:before="0" w:beforeAutospacing="0" w:after="0" w:afterAutospacing="0" w:line="560" w:lineRule="exact"/>
        <w:ind w:firstLine="63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（六）海绵城市建设的其他要求。</w:t>
      </w:r>
    </w:p>
    <w:p>
      <w:pPr>
        <w:pStyle w:val="4"/>
        <w:widowControl/>
        <w:shd w:val="clear" w:color="auto" w:fill="FFFFFF"/>
        <w:spacing w:before="0" w:beforeAutospacing="0" w:after="0" w:afterAutospacing="0" w:line="560"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第五章  运行维护</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 xml:space="preserve">　　第二十四条  </w:t>
      </w:r>
      <w:r>
        <w:rPr>
          <w:rFonts w:hint="eastAsia" w:ascii="仿宋" w:hAnsi="仿宋" w:eastAsia="仿宋" w:cs="仿宋_GB2312"/>
          <w:sz w:val="32"/>
          <w:szCs w:val="32"/>
          <w:shd w:val="clear" w:color="auto" w:fill="FFFFFF"/>
        </w:rPr>
        <w:t>城市道路、绿地、广场、水系等市政海绵城市设施,由住建、城管执法、市政、园林绿化、水务等部门负责维护管理;工业建筑与住宅小区等其他类型项目海绵城市设施,由该设施的所有者或其委托方负责维护管理。</w:t>
      </w:r>
    </w:p>
    <w:p>
      <w:pPr>
        <w:pStyle w:val="4"/>
        <w:widowControl/>
        <w:shd w:val="clear" w:color="auto" w:fill="FFFFFF"/>
        <w:spacing w:before="0" w:beforeAutospacing="0" w:after="0" w:afterAutospacing="0" w:line="56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海绵城市设施的维护管理单位应严格按照国家、省市相关规范标准进行维护和管理,确保海绵设施正常运行。</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w:t>
      </w:r>
      <w:r>
        <w:rPr>
          <w:rFonts w:hint="eastAsia" w:ascii="黑体" w:hAnsi="黑体" w:eastAsia="黑体" w:cs="仿宋_GB2312"/>
          <w:sz w:val="32"/>
          <w:szCs w:val="32"/>
          <w:shd w:val="clear" w:color="auto" w:fill="FFFFFF"/>
        </w:rPr>
        <w:t>第二十五条</w:t>
      </w:r>
      <w:r>
        <w:rPr>
          <w:rFonts w:hint="eastAsia" w:ascii="仿宋" w:hAnsi="仿宋" w:eastAsia="仿宋" w:cs="仿宋_GB2312"/>
          <w:sz w:val="32"/>
          <w:szCs w:val="32"/>
          <w:shd w:val="clear" w:color="auto" w:fill="FFFFFF"/>
        </w:rPr>
        <w:t xml:space="preserve">  任何单位和个人不得非法侵占、损毁海绵城市设施。</w:t>
      </w:r>
    </w:p>
    <w:p>
      <w:pPr>
        <w:pStyle w:val="4"/>
        <w:widowControl/>
        <w:shd w:val="clear" w:color="auto" w:fill="FFFFFF"/>
        <w:spacing w:before="0" w:beforeAutospacing="0" w:after="0" w:afterAutospacing="0" w:line="560" w:lineRule="exact"/>
        <w:jc w:val="both"/>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w:t>
      </w:r>
      <w:r>
        <w:rPr>
          <w:rFonts w:hint="eastAsia" w:ascii="黑体" w:hAnsi="黑体" w:eastAsia="黑体" w:cs="仿宋_GB2312"/>
          <w:sz w:val="32"/>
          <w:szCs w:val="32"/>
          <w:shd w:val="clear" w:color="auto" w:fill="FFFFFF"/>
        </w:rPr>
        <w:t xml:space="preserve">第二十六条 </w:t>
      </w:r>
      <w:r>
        <w:rPr>
          <w:rFonts w:hint="eastAsia" w:ascii="仿宋" w:hAnsi="仿宋" w:eastAsia="仿宋" w:cs="仿宋_GB2312"/>
          <w:sz w:val="32"/>
          <w:szCs w:val="32"/>
          <w:shd w:val="clear" w:color="auto" w:fill="FFFFFF"/>
        </w:rPr>
        <w:t xml:space="preserve"> 城市雨水行泄通道及易发生内涝的路段、地下通道以及城市绿地中湿塘、雨水湿地等设置海绵城市设施的区域,应按照相关规定配建必要的警示标识、预警系统和应急处理措施，确保暴雨期间人员财产安全，避免对公共安全造成危害。</w:t>
      </w:r>
    </w:p>
    <w:p>
      <w:pPr>
        <w:widowControl/>
        <w:spacing w:line="253" w:lineRule="atLeast"/>
        <w:jc w:val="center"/>
        <w:rPr>
          <w:rFonts w:ascii="黑体" w:hAnsi="黑体" w:eastAsia="黑体" w:cs="仿宋_GB2312"/>
          <w:kern w:val="0"/>
          <w:sz w:val="32"/>
          <w:szCs w:val="32"/>
          <w:shd w:val="clear" w:color="auto" w:fill="FFFFFF"/>
        </w:rPr>
      </w:pPr>
      <w:r>
        <w:rPr>
          <w:rFonts w:hint="eastAsia" w:ascii="黑体" w:hAnsi="黑体" w:eastAsia="黑体" w:cs="仿宋_GB2312"/>
          <w:kern w:val="0"/>
          <w:sz w:val="32"/>
          <w:szCs w:val="32"/>
          <w:shd w:val="clear" w:color="auto" w:fill="FFFFFF"/>
        </w:rPr>
        <w:t xml:space="preserve">第六章  </w:t>
      </w:r>
      <w:r>
        <w:rPr>
          <w:rFonts w:ascii="黑体" w:hAnsi="黑体" w:eastAsia="黑体" w:cs="仿宋_GB2312"/>
          <w:kern w:val="0"/>
          <w:sz w:val="32"/>
          <w:szCs w:val="32"/>
          <w:shd w:val="clear" w:color="auto" w:fill="FFFFFF"/>
        </w:rPr>
        <w:t>其他</w:t>
      </w:r>
      <w:r>
        <w:rPr>
          <w:rFonts w:hint="eastAsia" w:ascii="黑体" w:hAnsi="黑体" w:eastAsia="黑体" w:cs="仿宋_GB2312"/>
          <w:kern w:val="0"/>
          <w:sz w:val="32"/>
          <w:szCs w:val="32"/>
          <w:shd w:val="clear" w:color="auto" w:fill="FFFFFF"/>
        </w:rPr>
        <w:t>方面</w:t>
      </w:r>
    </w:p>
    <w:p>
      <w:pPr>
        <w:widowControl/>
        <w:spacing w:line="253" w:lineRule="atLeast"/>
        <w:ind w:firstLine="640" w:firstLineChars="200"/>
        <w:rPr>
          <w:rFonts w:ascii="仿宋" w:hAnsi="仿宋" w:eastAsia="仿宋" w:cs="仿宋_GB2312"/>
          <w:kern w:val="0"/>
          <w:sz w:val="32"/>
          <w:szCs w:val="32"/>
          <w:shd w:val="clear" w:color="auto" w:fill="FFFFFF"/>
        </w:rPr>
      </w:pPr>
      <w:r>
        <w:rPr>
          <w:rFonts w:ascii="黑体" w:hAnsi="黑体" w:eastAsia="黑体" w:cs="仿宋_GB2312"/>
          <w:kern w:val="0"/>
          <w:sz w:val="32"/>
          <w:szCs w:val="32"/>
          <w:shd w:val="clear" w:color="auto" w:fill="FFFFFF"/>
        </w:rPr>
        <w:t>第二十</w:t>
      </w:r>
      <w:r>
        <w:rPr>
          <w:rFonts w:hint="eastAsia" w:ascii="黑体" w:hAnsi="黑体" w:eastAsia="黑体" w:cs="仿宋_GB2312"/>
          <w:kern w:val="0"/>
          <w:sz w:val="32"/>
          <w:szCs w:val="32"/>
          <w:shd w:val="clear" w:color="auto" w:fill="FFFFFF"/>
        </w:rPr>
        <w:t>七</w:t>
      </w:r>
      <w:r>
        <w:rPr>
          <w:rFonts w:ascii="黑体" w:hAnsi="黑体" w:eastAsia="黑体" w:cs="仿宋_GB2312"/>
          <w:kern w:val="0"/>
          <w:sz w:val="32"/>
          <w:szCs w:val="32"/>
          <w:shd w:val="clear" w:color="auto" w:fill="FFFFFF"/>
        </w:rPr>
        <w:t>条</w:t>
      </w:r>
      <w:r>
        <w:rPr>
          <w:rFonts w:hint="eastAsia" w:ascii="仿宋" w:hAnsi="仿宋" w:eastAsia="仿宋" w:cs="仿宋_GB2312"/>
          <w:kern w:val="0"/>
          <w:sz w:val="32"/>
          <w:szCs w:val="32"/>
          <w:shd w:val="clear" w:color="auto" w:fill="FFFFFF"/>
        </w:rPr>
        <w:t xml:space="preserve">  </w:t>
      </w:r>
      <w:r>
        <w:rPr>
          <w:rFonts w:ascii="仿宋" w:hAnsi="仿宋" w:eastAsia="仿宋" w:cs="仿宋_GB2312"/>
          <w:kern w:val="0"/>
          <w:sz w:val="32"/>
          <w:szCs w:val="32"/>
          <w:shd w:val="clear" w:color="auto" w:fill="FFFFFF"/>
        </w:rPr>
        <w:t>积极推广运用政府和社会资本合作(PPP)模式，鼓励社会资本多渠道、多形式参与海绵城市项目建设及运营管理，通过市场化运作，提高运营质量和服务水平。</w:t>
      </w:r>
    </w:p>
    <w:p>
      <w:pPr>
        <w:widowControl/>
        <w:spacing w:line="253" w:lineRule="atLeast"/>
        <w:ind w:firstLine="640" w:firstLineChars="200"/>
        <w:rPr>
          <w:rFonts w:ascii="仿宋" w:hAnsi="仿宋" w:eastAsia="仿宋" w:cs="仿宋_GB2312"/>
          <w:kern w:val="0"/>
          <w:sz w:val="32"/>
          <w:szCs w:val="32"/>
          <w:shd w:val="clear" w:color="auto" w:fill="FFFFFF"/>
        </w:rPr>
      </w:pPr>
      <w:r>
        <w:rPr>
          <w:rFonts w:ascii="黑体" w:hAnsi="黑体" w:eastAsia="黑体" w:cs="仿宋_GB2312"/>
          <w:kern w:val="0"/>
          <w:sz w:val="32"/>
          <w:szCs w:val="32"/>
          <w:shd w:val="clear" w:color="auto" w:fill="FFFFFF"/>
        </w:rPr>
        <w:t>第二十</w:t>
      </w:r>
      <w:r>
        <w:rPr>
          <w:rFonts w:hint="eastAsia" w:ascii="黑体" w:hAnsi="黑体" w:eastAsia="黑体" w:cs="仿宋_GB2312"/>
          <w:kern w:val="0"/>
          <w:sz w:val="32"/>
          <w:szCs w:val="32"/>
          <w:shd w:val="clear" w:color="auto" w:fill="FFFFFF"/>
        </w:rPr>
        <w:t>八</w:t>
      </w:r>
      <w:r>
        <w:rPr>
          <w:rFonts w:ascii="黑体" w:hAnsi="黑体" w:eastAsia="黑体" w:cs="仿宋_GB2312"/>
          <w:kern w:val="0"/>
          <w:sz w:val="32"/>
          <w:szCs w:val="32"/>
          <w:shd w:val="clear" w:color="auto" w:fill="FFFFFF"/>
        </w:rPr>
        <w:t>条</w:t>
      </w:r>
      <w:r>
        <w:rPr>
          <w:rFonts w:hint="eastAsia" w:ascii="黑体" w:hAnsi="黑体" w:eastAsia="黑体" w:cs="仿宋_GB2312"/>
          <w:kern w:val="0"/>
          <w:sz w:val="32"/>
          <w:szCs w:val="32"/>
          <w:shd w:val="clear" w:color="auto" w:fill="FFFFFF"/>
        </w:rPr>
        <w:t xml:space="preserve"> </w:t>
      </w:r>
      <w:r>
        <w:rPr>
          <w:rFonts w:hint="eastAsia" w:ascii="仿宋" w:hAnsi="仿宋" w:eastAsia="仿宋" w:cs="仿宋_GB2312"/>
          <w:kern w:val="0"/>
          <w:sz w:val="32"/>
          <w:szCs w:val="32"/>
          <w:shd w:val="clear" w:color="auto" w:fill="FFFFFF"/>
        </w:rPr>
        <w:t xml:space="preserve"> </w:t>
      </w:r>
      <w:r>
        <w:rPr>
          <w:rFonts w:ascii="仿宋" w:hAnsi="仿宋" w:eastAsia="仿宋" w:cs="仿宋_GB2312"/>
          <w:kern w:val="0"/>
          <w:sz w:val="32"/>
          <w:szCs w:val="32"/>
          <w:shd w:val="clear" w:color="auto" w:fill="FFFFFF"/>
        </w:rPr>
        <w:t>鼓励和支持海绵城市建设的科学研究和先进适用技术、设备及材料的推广应用。</w:t>
      </w:r>
    </w:p>
    <w:p>
      <w:pPr>
        <w:pStyle w:val="4"/>
        <w:widowControl/>
        <w:shd w:val="clear" w:color="auto" w:fill="FFFFFF"/>
        <w:spacing w:before="0" w:beforeAutospacing="0" w:after="0" w:afterAutospacing="0" w:line="560" w:lineRule="exact"/>
        <w:ind w:firstLine="640" w:firstLineChars="200"/>
        <w:rPr>
          <w:rFonts w:ascii="仿宋" w:hAnsi="仿宋" w:eastAsia="仿宋" w:cs="仿宋_GB2312"/>
          <w:sz w:val="32"/>
          <w:szCs w:val="32"/>
          <w:shd w:val="clear" w:color="auto" w:fill="FFFFFF"/>
        </w:rPr>
      </w:pPr>
      <w:r>
        <w:rPr>
          <w:rFonts w:hint="eastAsia" w:ascii="黑体" w:hAnsi="黑体" w:eastAsia="黑体" w:cs="仿宋_GB2312"/>
          <w:sz w:val="32"/>
          <w:szCs w:val="32"/>
          <w:shd w:val="clear" w:color="auto" w:fill="FFFFFF"/>
        </w:rPr>
        <w:t>第二十九条</w:t>
      </w:r>
      <w:r>
        <w:rPr>
          <w:rFonts w:hint="eastAsia" w:ascii="仿宋" w:hAnsi="仿宋" w:eastAsia="仿宋" w:cs="仿宋_GB2312"/>
          <w:sz w:val="32"/>
          <w:szCs w:val="32"/>
          <w:shd w:val="clear" w:color="auto" w:fill="FFFFFF"/>
        </w:rPr>
        <w:t xml:space="preserve">  市海绵城市建设工作指挥部办公室负责按照《海绵城市建设评价标准》（GB/T51345-2018）,每年定期对全市海绵城市规划、建设和达标情况进行评估,并将评估报告提交市人民政府。对评估报告指出的问题，责令相关单位整改。</w:t>
      </w:r>
    </w:p>
    <w:p>
      <w:pPr>
        <w:pStyle w:val="4"/>
        <w:widowControl/>
        <w:numPr>
          <w:ilvl w:val="0"/>
          <w:numId w:val="0"/>
        </w:numPr>
        <w:shd w:val="clear" w:color="auto" w:fill="FFFFFF"/>
        <w:spacing w:before="0" w:beforeAutospacing="0" w:after="0" w:afterAutospacing="0" w:line="560" w:lineRule="exact"/>
        <w:jc w:val="center"/>
        <w:rPr>
          <w:rFonts w:hint="eastAsia" w:ascii="黑体" w:hAnsi="黑体" w:eastAsia="黑体" w:cs="仿宋_GB2312"/>
          <w:sz w:val="32"/>
          <w:szCs w:val="32"/>
          <w:shd w:val="clear" w:color="auto" w:fill="FFFFFF"/>
          <w:lang w:val="en-US" w:eastAsia="zh-CN"/>
        </w:rPr>
      </w:pPr>
      <w:r>
        <w:rPr>
          <w:rFonts w:hint="eastAsia" w:ascii="黑体" w:hAnsi="黑体" w:eastAsia="黑体" w:cs="仿宋_GB2312"/>
          <w:sz w:val="32"/>
          <w:szCs w:val="32"/>
          <w:shd w:val="clear" w:color="auto" w:fill="FFFFFF"/>
          <w:lang w:val="en-US" w:eastAsia="zh-CN"/>
        </w:rPr>
        <w:t>第七章  法律责任</w:t>
      </w:r>
    </w:p>
    <w:p>
      <w:pPr>
        <w:pStyle w:val="4"/>
        <w:widowControl/>
        <w:numPr>
          <w:ilvl w:val="0"/>
          <w:numId w:val="0"/>
        </w:numPr>
        <w:shd w:val="clear" w:color="auto" w:fill="FFFFFF"/>
        <w:spacing w:before="0" w:beforeAutospacing="0" w:after="0" w:afterAutospacing="0" w:line="560" w:lineRule="exact"/>
        <w:ind w:firstLine="640"/>
        <w:jc w:val="both"/>
        <w:rPr>
          <w:rFonts w:hint="eastAsia" w:ascii="仿宋" w:hAnsi="仿宋" w:eastAsia="仿宋" w:cs="仿宋_GB2312"/>
          <w:sz w:val="32"/>
          <w:szCs w:val="32"/>
          <w:shd w:val="clear" w:color="auto" w:fill="FFFFFF"/>
          <w:lang w:val="en-US" w:eastAsia="zh-CN"/>
        </w:rPr>
      </w:pPr>
      <w:r>
        <w:rPr>
          <w:rFonts w:hint="eastAsia" w:ascii="黑体" w:hAnsi="黑体" w:eastAsia="黑体" w:cs="仿宋_GB2312"/>
          <w:sz w:val="32"/>
          <w:szCs w:val="32"/>
          <w:shd w:val="clear" w:color="auto" w:fill="FFFFFF"/>
        </w:rPr>
        <w:t>第三十条</w:t>
      </w:r>
      <w:r>
        <w:rPr>
          <w:rFonts w:hint="eastAsia" w:ascii="黑体" w:hAnsi="黑体" w:eastAsia="黑体"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lang w:val="en-US" w:eastAsia="zh-CN"/>
        </w:rPr>
        <w:t>对政府部门工作人员违反本法规定，不履行或不正确履行所应担负职责的，依法依规追究责任。</w:t>
      </w:r>
    </w:p>
    <w:p>
      <w:pPr>
        <w:pStyle w:val="4"/>
        <w:widowControl/>
        <w:numPr>
          <w:ilvl w:val="0"/>
          <w:numId w:val="0"/>
        </w:numPr>
        <w:shd w:val="clear" w:color="auto" w:fill="FFFFFF"/>
        <w:spacing w:before="0" w:beforeAutospacing="0" w:after="0" w:afterAutospacing="0" w:line="560" w:lineRule="exact"/>
        <w:ind w:firstLine="640"/>
        <w:jc w:val="both"/>
        <w:rPr>
          <w:rFonts w:hint="eastAsia" w:ascii="仿宋" w:hAnsi="仿宋" w:eastAsia="仿宋" w:cs="仿宋_GB2312"/>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 xml:space="preserve">第三十一条  </w:t>
      </w:r>
      <w:r>
        <w:rPr>
          <w:rFonts w:hint="eastAsia" w:ascii="仿宋" w:hAnsi="仿宋" w:eastAsia="仿宋" w:cs="仿宋_GB2312"/>
          <w:sz w:val="32"/>
          <w:szCs w:val="32"/>
          <w:shd w:val="clear" w:color="auto" w:fill="FFFFFF"/>
          <w:lang w:val="en-US" w:eastAsia="zh-CN"/>
        </w:rPr>
        <w:t>建设、规划、设计、施工、监理、运行维护、第三方技术服务机构等有关单位违反本法规定的，相关主管部门可视情节轻重，将违规行为纳入不良行为记录、将违规单位纳入失信名单或依法追究责任。</w:t>
      </w:r>
    </w:p>
    <w:p>
      <w:pPr>
        <w:pStyle w:val="4"/>
        <w:widowControl/>
        <w:numPr>
          <w:ilvl w:val="0"/>
          <w:numId w:val="0"/>
        </w:numPr>
        <w:shd w:val="clear" w:color="auto" w:fill="FFFFFF"/>
        <w:spacing w:before="0" w:beforeAutospacing="0" w:after="0" w:afterAutospacing="0" w:line="560" w:lineRule="exact"/>
        <w:ind w:firstLine="640"/>
        <w:jc w:val="both"/>
        <w:rPr>
          <w:rFonts w:hint="eastAsia" w:ascii="仿宋" w:hAnsi="仿宋" w:eastAsia="仿宋" w:cs="仿宋_GB2312"/>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 xml:space="preserve">第三十二条  </w:t>
      </w:r>
      <w:r>
        <w:rPr>
          <w:rFonts w:hint="eastAsia" w:ascii="仿宋" w:hAnsi="仿宋" w:eastAsia="仿宋" w:cs="仿宋_GB2312"/>
          <w:sz w:val="32"/>
          <w:szCs w:val="32"/>
          <w:shd w:val="clear" w:color="auto" w:fill="FFFFFF"/>
          <w:lang w:val="en-US" w:eastAsia="zh-CN"/>
        </w:rPr>
        <w:t>任何单位和个人有权对海绵城市建设活动进行监督，发现违反本办法的行为，可向海绵城市工作机构、规划建设行政主管部门、纪检监察机关举报。</w:t>
      </w:r>
    </w:p>
    <w:p>
      <w:pPr>
        <w:pStyle w:val="4"/>
        <w:widowControl/>
        <w:numPr>
          <w:ilvl w:val="0"/>
          <w:numId w:val="0"/>
        </w:numPr>
        <w:shd w:val="clear" w:color="auto" w:fill="FFFFFF"/>
        <w:spacing w:before="0" w:beforeAutospacing="0" w:after="0" w:afterAutospacing="0" w:line="560"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lang w:val="en-US" w:eastAsia="zh-CN"/>
        </w:rPr>
        <w:t xml:space="preserve">第八章  </w:t>
      </w:r>
      <w:r>
        <w:rPr>
          <w:rFonts w:hint="eastAsia" w:ascii="黑体" w:hAnsi="黑体" w:eastAsia="黑体" w:cs="仿宋_GB2312"/>
          <w:sz w:val="32"/>
          <w:szCs w:val="32"/>
          <w:shd w:val="clear" w:color="auto" w:fill="FFFFFF"/>
        </w:rPr>
        <w:t>附  则</w:t>
      </w:r>
    </w:p>
    <w:p>
      <w:pPr>
        <w:pStyle w:val="4"/>
        <w:widowControl/>
        <w:shd w:val="clear" w:color="auto" w:fill="FFFFFF"/>
        <w:spacing w:before="0" w:beforeAutospacing="0" w:after="0" w:afterAutospacing="0" w:line="560" w:lineRule="exact"/>
        <w:ind w:firstLine="640" w:firstLineChars="200"/>
        <w:rPr>
          <w:rFonts w:ascii="宋体" w:hAnsi="宋体" w:cs="仿宋_GB2312"/>
          <w:b/>
          <w:sz w:val="44"/>
          <w:szCs w:val="44"/>
        </w:rPr>
      </w:pPr>
      <w:r>
        <w:rPr>
          <w:rFonts w:hint="eastAsia" w:ascii="黑体" w:hAnsi="黑体" w:eastAsia="黑体" w:cs="仿宋_GB2312"/>
          <w:sz w:val="32"/>
          <w:szCs w:val="32"/>
          <w:shd w:val="clear" w:color="auto" w:fill="FFFFFF"/>
        </w:rPr>
        <w:t>第三十</w:t>
      </w:r>
      <w:r>
        <w:rPr>
          <w:rFonts w:hint="eastAsia" w:ascii="黑体" w:hAnsi="黑体" w:eastAsia="黑体" w:cs="仿宋_GB2312"/>
          <w:sz w:val="32"/>
          <w:szCs w:val="32"/>
          <w:shd w:val="clear" w:color="auto" w:fill="FFFFFF"/>
          <w:lang w:val="en-US" w:eastAsia="zh-CN"/>
        </w:rPr>
        <w:t>三</w:t>
      </w:r>
      <w:r>
        <w:rPr>
          <w:rFonts w:hint="eastAsia" w:ascii="黑体" w:hAnsi="黑体" w:eastAsia="黑体" w:cs="仿宋_GB2312"/>
          <w:sz w:val="32"/>
          <w:szCs w:val="32"/>
          <w:shd w:val="clear" w:color="auto" w:fill="FFFFFF"/>
        </w:rPr>
        <w:t xml:space="preserve">条 </w:t>
      </w:r>
      <w:r>
        <w:rPr>
          <w:rFonts w:hint="eastAsia" w:ascii="仿宋" w:hAnsi="仿宋" w:eastAsia="仿宋" w:cs="仿宋_GB2312"/>
          <w:sz w:val="32"/>
          <w:szCs w:val="32"/>
          <w:shd w:val="clear" w:color="auto" w:fill="FFFFFF"/>
        </w:rPr>
        <w:t xml:space="preserve"> 本办法自公布之日起施行。</w:t>
      </w:r>
    </w:p>
    <w:p>
      <w:pPr>
        <w:pStyle w:val="4"/>
        <w:widowControl/>
        <w:shd w:val="clear" w:color="auto" w:fill="FFFFFF"/>
        <w:spacing w:before="0" w:beforeAutospacing="0" w:after="0" w:afterAutospacing="0" w:line="560" w:lineRule="exact"/>
        <w:jc w:val="center"/>
        <w:rPr>
          <w:rFonts w:ascii="宋体" w:hAnsi="宋体" w:cs="仿宋_GB2312"/>
          <w:b/>
          <w:sz w:val="44"/>
          <w:szCs w:val="44"/>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9</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9</w:t>
                    </w:r>
                    <w:r>
                      <w:rPr>
                        <w:rFonts w:hint="eastAsia" w:ascii="宋体" w:hAnsi="宋体" w:eastAsia="宋体" w:cs="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E692A"/>
    <w:rsid w:val="17C12858"/>
    <w:rsid w:val="4E0D74DD"/>
    <w:rsid w:val="5743450D"/>
    <w:rsid w:val="651E692A"/>
    <w:rsid w:val="6DCE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2021-08-12T01:47:00Z</dcterms:created>
  <dc:creator>奔驰的宝马</dc:creator>
  <cp:lastModifiedBy>奔驰的宝马</cp:lastModifiedBy>
  <dcterms:modified xsi:type="dcterms:W3CDTF">2021-08-12T06:30:22Z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