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0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xml:space="preserve">    河北智慧旅游服务有限公司关于秦皇岛长城露营地建设项目的备案信息如下：</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xml:space="preserve">    项目名称：秦皇岛长城露营地建设项目。</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项目建设单位：河北智慧旅游服务有限公司。　</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项目建设地点：河北省秦皇岛市山海关区。</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xml:space="preserve">    主要建设规模及内容：</w:t>
      </w:r>
      <w:r>
        <w:rPr>
          <w:rFonts w:hint="eastAsia" w:ascii="仿宋" w:hAnsi="仿宋" w:eastAsia="仿宋"/>
          <w:sz w:val="32"/>
          <w:szCs w:val="32"/>
          <w:lang w:eastAsia="zh-CN"/>
        </w:rPr>
        <w:t>总建筑面积</w:t>
      </w:r>
      <w:r>
        <w:rPr>
          <w:rFonts w:hint="eastAsia" w:ascii="仿宋" w:hAnsi="仿宋" w:eastAsia="仿宋"/>
          <w:sz w:val="32"/>
          <w:szCs w:val="32"/>
          <w:lang w:val="en-US" w:eastAsia="zh-CN"/>
        </w:rPr>
        <w:t>1000平方米。包括</w:t>
      </w:r>
      <w:r>
        <w:rPr>
          <w:rFonts w:hint="eastAsia" w:ascii="仿宋" w:hAnsi="仿宋" w:eastAsia="仿宋"/>
          <w:sz w:val="32"/>
          <w:szCs w:val="32"/>
        </w:rPr>
        <w:t>在山海关</w:t>
      </w:r>
      <w:r>
        <w:rPr>
          <w:rFonts w:hint="eastAsia" w:ascii="仿宋" w:hAnsi="仿宋" w:eastAsia="仿宋"/>
          <w:sz w:val="32"/>
          <w:szCs w:val="32"/>
          <w:lang w:eastAsia="zh-CN"/>
        </w:rPr>
        <w:t>区</w:t>
      </w:r>
      <w:r>
        <w:rPr>
          <w:rFonts w:hint="eastAsia" w:ascii="仿宋" w:hAnsi="仿宋" w:eastAsia="仿宋"/>
          <w:sz w:val="32"/>
          <w:szCs w:val="32"/>
        </w:rPr>
        <w:t>老龙头景区内建设高标准长城露营地；在海港区大道岭村龙凤山庄内建设高标准露营地。</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项目总投资：1000万元，其中项目资本金为700万元，项目资本金占项目总投资的比例为70%。</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50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500" w:lineRule="exact"/>
        <w:textAlignment w:val="auto"/>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秦皇岛市行政审批局</w:t>
      </w:r>
    </w:p>
    <w:p>
      <w:pPr>
        <w:keepNext w:val="0"/>
        <w:keepLines w:val="0"/>
        <w:pageBreakBefore w:val="0"/>
        <w:widowControl w:val="0"/>
        <w:kinsoku/>
        <w:wordWrap/>
        <w:overflowPunct/>
        <w:topLinePunct w:val="0"/>
        <w:autoSpaceDE/>
        <w:autoSpaceDN/>
        <w:adjustRightInd/>
        <w:snapToGrid/>
        <w:spacing w:line="50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2022年08月30日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1BA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2022-08-30T07:18:32Z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B19AC2A09FC244069520732F2B9F7C4C</vt:lpwstr>
  </property>
</Properties>
</file>