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cs="Times New Roman"/>
          <w:highlight w:val="none"/>
        </w:rPr>
      </w:pPr>
      <w:r>
        <w:rPr>
          <w:rFonts w:cs="Times New Roman"/>
          <w:highlight w:val="none"/>
        </w:rPr>
        <w:t>秦皇岛北戴河新区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eastAsia="方正小标宋简体" w:cs="Times New Roman"/>
          <w:spacing w:val="0"/>
          <w:w w:val="100"/>
          <w:sz w:val="44"/>
          <w:szCs w:val="44"/>
          <w:u w:val="none"/>
        </w:rPr>
      </w:pPr>
      <w:r>
        <w:rPr>
          <w:rFonts w:hint="eastAsia" w:eastAsia="方正小标宋简体" w:cs="Times New Roman"/>
          <w:spacing w:val="0"/>
          <w:w w:val="100"/>
          <w:sz w:val="44"/>
          <w:szCs w:val="44"/>
          <w:u w:val="none"/>
          <w:lang w:val="en-US" w:eastAsia="zh-CN"/>
        </w:rPr>
        <w:t>关于</w:t>
      </w:r>
      <w:r>
        <w:rPr>
          <w:rFonts w:hint="eastAsia" w:eastAsia="方正小标宋简体" w:cs="Times New Roman"/>
          <w:spacing w:val="0"/>
          <w:w w:val="100"/>
          <w:sz w:val="44"/>
          <w:szCs w:val="44"/>
          <w:u w:val="none"/>
        </w:rPr>
        <w:t>20</w:t>
      </w:r>
      <w:r>
        <w:rPr>
          <w:rFonts w:hint="eastAsia" w:eastAsia="方正小标宋简体" w:cs="Times New Roman"/>
          <w:spacing w:val="0"/>
          <w:w w:val="100"/>
          <w:sz w:val="44"/>
          <w:szCs w:val="44"/>
          <w:u w:val="none"/>
          <w:lang w:val="en-US" w:eastAsia="zh-CN"/>
        </w:rPr>
        <w:t>21</w:t>
      </w:r>
      <w:r>
        <w:rPr>
          <w:rFonts w:hint="eastAsia" w:eastAsia="方正小标宋简体" w:cs="Times New Roman"/>
          <w:spacing w:val="0"/>
          <w:w w:val="100"/>
          <w:sz w:val="44"/>
          <w:szCs w:val="44"/>
          <w:u w:val="none"/>
        </w:rPr>
        <w:t>年预算执行情况和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eastAsia="方正小标宋简体" w:cs="Times New Roman"/>
          <w:spacing w:val="0"/>
          <w:w w:val="100"/>
          <w:sz w:val="44"/>
          <w:szCs w:val="44"/>
          <w:u w:val="none"/>
          <w:lang w:val="en-US" w:eastAsia="zh-CN"/>
        </w:rPr>
      </w:pPr>
      <w:r>
        <w:rPr>
          <w:rFonts w:hint="eastAsia" w:eastAsia="方正小标宋简体" w:cs="Times New Roman"/>
          <w:spacing w:val="0"/>
          <w:w w:val="100"/>
          <w:sz w:val="44"/>
          <w:szCs w:val="44"/>
          <w:u w:val="none"/>
        </w:rPr>
        <w:t>202</w:t>
      </w:r>
      <w:r>
        <w:rPr>
          <w:rFonts w:hint="eastAsia" w:eastAsia="方正小标宋简体" w:cs="Times New Roman"/>
          <w:spacing w:val="0"/>
          <w:w w:val="100"/>
          <w:sz w:val="44"/>
          <w:szCs w:val="44"/>
          <w:u w:val="none"/>
          <w:lang w:val="en-US" w:eastAsia="zh-CN"/>
        </w:rPr>
        <w:t>2</w:t>
      </w:r>
      <w:r>
        <w:rPr>
          <w:rFonts w:hint="eastAsia" w:eastAsia="方正小标宋简体" w:cs="Times New Roman"/>
          <w:spacing w:val="0"/>
          <w:w w:val="100"/>
          <w:sz w:val="44"/>
          <w:szCs w:val="44"/>
          <w:u w:val="none"/>
        </w:rPr>
        <w:t>年预算</w:t>
      </w:r>
      <w:bookmarkStart w:id="0" w:name="_GoBack"/>
      <w:bookmarkEnd w:id="0"/>
      <w:r>
        <w:rPr>
          <w:rFonts w:hint="eastAsia" w:eastAsia="方正小标宋简体" w:cs="Times New Roman"/>
          <w:spacing w:val="0"/>
          <w:w w:val="100"/>
          <w:sz w:val="44"/>
          <w:szCs w:val="44"/>
          <w:u w:val="none"/>
          <w:lang w:eastAsia="zh-CN"/>
        </w:rPr>
        <w:t>（</w:t>
      </w:r>
      <w:r>
        <w:rPr>
          <w:rFonts w:hint="eastAsia" w:eastAsia="方正小标宋简体" w:cs="Times New Roman"/>
          <w:spacing w:val="0"/>
          <w:w w:val="100"/>
          <w:sz w:val="44"/>
          <w:szCs w:val="44"/>
          <w:u w:val="none"/>
        </w:rPr>
        <w:t>草案</w:t>
      </w:r>
      <w:r>
        <w:rPr>
          <w:rFonts w:hint="eastAsia" w:eastAsia="方正小标宋简体" w:cs="Times New Roman"/>
          <w:spacing w:val="0"/>
          <w:w w:val="100"/>
          <w:sz w:val="44"/>
          <w:szCs w:val="44"/>
          <w:u w:val="none"/>
          <w:lang w:eastAsia="zh-CN"/>
        </w:rPr>
        <w:t>）</w:t>
      </w:r>
      <w:r>
        <w:rPr>
          <w:rFonts w:hint="eastAsia" w:eastAsia="方正小标宋简体" w:cs="Times New Roman"/>
          <w:spacing w:val="0"/>
          <w:w w:val="100"/>
          <w:sz w:val="44"/>
          <w:szCs w:val="44"/>
          <w:u w:val="none"/>
          <w:lang w:val="en-US" w:eastAsia="zh-CN"/>
        </w:rPr>
        <w:t>的说明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eastAsia="方正小标宋简体" w:cs="Times New Roman"/>
          <w:spacing w:val="-28"/>
          <w:w w:val="100"/>
          <w:sz w:val="44"/>
          <w:szCs w:val="44"/>
          <w:highlight w:val="none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Times New Roman" w:hAnsi="Times New Roman" w:eastAsia="方正仿宋简体" w:cs="方正仿宋简体"/>
          <w:lang w:eastAsia="zh-CN"/>
        </w:rPr>
      </w:pPr>
      <w:r>
        <w:rPr>
          <w:rFonts w:hint="eastAsia" w:ascii="Times New Roman" w:hAnsi="Times New Roman" w:eastAsia="方正仿宋简体" w:cs="方正仿宋简体"/>
          <w:lang w:val="en-US" w:eastAsia="zh-CN"/>
        </w:rPr>
        <w:t>各位代表</w:t>
      </w:r>
      <w:r>
        <w:rPr>
          <w:rFonts w:hint="eastAsia" w:ascii="Times New Roman" w:hAnsi="Times New Roman" w:eastAsia="方正仿宋简体" w:cs="方正仿宋简体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cs="方正仿宋简体"/>
          <w:shd w:val="clear" w:color="auto" w:fill="FFFFFF"/>
        </w:rPr>
      </w:pPr>
      <w:r>
        <w:rPr>
          <w:rFonts w:hint="eastAsia" w:cs="方正仿宋简体"/>
          <w:shd w:val="clear" w:color="auto" w:fill="FFFFFF"/>
        </w:rPr>
        <w:t>按照大会要求，现就北戴河新区202</w:t>
      </w:r>
      <w:r>
        <w:rPr>
          <w:rFonts w:hint="eastAsia" w:cs="方正仿宋简体"/>
          <w:shd w:val="clear" w:color="auto" w:fill="FFFFFF"/>
          <w:lang w:val="en-US" w:eastAsia="zh-CN"/>
        </w:rPr>
        <w:t>1</w:t>
      </w:r>
      <w:r>
        <w:rPr>
          <w:rFonts w:hint="eastAsia" w:cs="方正仿宋简体"/>
          <w:shd w:val="clear" w:color="auto" w:fill="FFFFFF"/>
        </w:rPr>
        <w:t>年预算执行情况和202</w:t>
      </w:r>
      <w:r>
        <w:rPr>
          <w:rFonts w:hint="eastAsia" w:cs="方正仿宋简体"/>
          <w:shd w:val="clear" w:color="auto" w:fill="FFFFFF"/>
          <w:lang w:val="en-US" w:eastAsia="zh-CN"/>
        </w:rPr>
        <w:t>2</w:t>
      </w:r>
      <w:r>
        <w:rPr>
          <w:rFonts w:hint="eastAsia" w:cs="方正仿宋简体"/>
          <w:shd w:val="clear" w:color="auto" w:fill="FFFFFF"/>
        </w:rPr>
        <w:t>年预算草案进行说明，请予审议。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一</w:t>
      </w:r>
      <w:r>
        <w:rPr>
          <w:rFonts w:hint="default" w:ascii="Times New Roman" w:hAnsi="Times New Roman" w:eastAsia="黑体" w:cs="Times New Roman"/>
          <w:lang w:eastAsia="zh-CN"/>
        </w:rPr>
        <w:t>、</w:t>
      </w:r>
      <w:r>
        <w:rPr>
          <w:rFonts w:hint="default" w:ascii="Times New Roman" w:hAnsi="Times New Roman" w:eastAsia="黑体" w:cs="Times New Roman"/>
        </w:rPr>
        <w:t>202</w:t>
      </w:r>
      <w:r>
        <w:rPr>
          <w:rFonts w:hint="default" w:ascii="Times New Roman" w:hAnsi="Times New Roman" w:eastAsia="黑体" w:cs="Times New Roman"/>
          <w:lang w:val="en-US" w:eastAsia="zh-CN"/>
        </w:rPr>
        <w:t>1</w:t>
      </w:r>
      <w:r>
        <w:rPr>
          <w:rFonts w:hint="default" w:ascii="Times New Roman" w:hAnsi="Times New Roman" w:eastAsia="黑体" w:cs="Times New Roman"/>
        </w:rPr>
        <w:t>年预算执行情况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hd w:val="clear" w:color="auto" w:fill="FFFFFF"/>
        </w:rPr>
      </w:pPr>
      <w:r>
        <w:rPr>
          <w:rFonts w:hint="eastAsia" w:cs="Times New Roman"/>
          <w:highlight w:val="none"/>
          <w:lang w:val="en-US" w:eastAsia="zh-CN"/>
        </w:rPr>
        <w:t>2021年，是北戴河新区实体组建10周年和国家生命健康产业创新示范区获批5周年，是北戴河新区“二次创业”起步年，多个重要发展节点汇集</w:t>
      </w:r>
      <w:r>
        <w:rPr>
          <w:rFonts w:hint="eastAsia" w:cs="方正仿宋简体"/>
          <w:shd w:val="clear" w:color="auto" w:fill="FFFFFF"/>
        </w:rPr>
        <w:t>，在市委、市政府的坚强领导下，我们认真贯彻</w:t>
      </w:r>
      <w:r>
        <w:rPr>
          <w:rFonts w:hint="eastAsia" w:cs="方正仿宋简体"/>
          <w:highlight w:val="none"/>
          <w:shd w:val="clear" w:color="auto" w:fill="FFFFFF"/>
          <w:lang w:val="en-US" w:eastAsia="zh-CN"/>
        </w:rPr>
        <w:t>各项</w:t>
      </w:r>
      <w:r>
        <w:rPr>
          <w:rFonts w:hint="eastAsia" w:cs="方正仿宋简体"/>
          <w:shd w:val="clear" w:color="auto" w:fill="FFFFFF"/>
        </w:rPr>
        <w:t>重大决策部署和要求，坚持稳中求进工作总基调，坚持新发展理念，全面落实常态化疫情防控和经济社会发展工作部署，坚决落实“六稳”“六保”工作任务，预算执行</w:t>
      </w:r>
      <w:r>
        <w:rPr>
          <w:rFonts w:hint="default" w:ascii="Times New Roman" w:hAnsi="Times New Roman" w:cs="Times New Roman"/>
          <w:shd w:val="clear" w:color="auto" w:fill="FFFFFF"/>
        </w:rPr>
        <w:t>情况总体平稳。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b w:val="0"/>
          <w:bCs w:val="0"/>
          <w:highlight w:val="none"/>
          <w:lang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highlight w:val="none"/>
          <w:lang w:eastAsia="zh-CN"/>
        </w:rPr>
        <w:t>（</w:t>
      </w:r>
      <w:r>
        <w:rPr>
          <w:rFonts w:hint="default" w:ascii="Times New Roman" w:hAnsi="Times New Roman" w:eastAsia="方正楷体简体" w:cs="Times New Roman"/>
          <w:b w:val="0"/>
          <w:bCs w:val="0"/>
          <w:highlight w:val="none"/>
          <w:lang w:val="en-US" w:eastAsia="zh-CN"/>
        </w:rPr>
        <w:t>一</w:t>
      </w:r>
      <w:r>
        <w:rPr>
          <w:rFonts w:hint="default" w:ascii="Times New Roman" w:hAnsi="Times New Roman" w:eastAsia="方正楷体简体" w:cs="Times New Roman"/>
          <w:b w:val="0"/>
          <w:bCs w:val="0"/>
          <w:highlight w:val="none"/>
          <w:lang w:eastAsia="zh-CN"/>
        </w:rPr>
        <w:t>）</w:t>
      </w:r>
      <w:r>
        <w:rPr>
          <w:rFonts w:hint="default" w:ascii="Times New Roman" w:hAnsi="Times New Roman" w:eastAsia="方正楷体简体" w:cs="Times New Roman"/>
          <w:b w:val="0"/>
          <w:bCs w:val="0"/>
          <w:highlight w:val="none"/>
        </w:rPr>
        <w:t>202</w:t>
      </w:r>
      <w:r>
        <w:rPr>
          <w:rFonts w:hint="default" w:ascii="Times New Roman" w:hAnsi="Times New Roman" w:eastAsia="方正楷体简体" w:cs="Times New Roman"/>
          <w:b w:val="0"/>
          <w:bCs w:val="0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楷体简体" w:cs="Times New Roman"/>
          <w:b w:val="0"/>
          <w:bCs w:val="0"/>
          <w:highlight w:val="none"/>
        </w:rPr>
        <w:t>年预算执行</w:t>
      </w:r>
      <w:r>
        <w:rPr>
          <w:rFonts w:hint="default" w:ascii="Times New Roman" w:hAnsi="Times New Roman" w:eastAsia="方正楷体简体" w:cs="Times New Roman"/>
          <w:b w:val="0"/>
          <w:bCs w:val="0"/>
          <w:highlight w:val="none"/>
          <w:lang w:val="en-US" w:eastAsia="zh-CN"/>
        </w:rPr>
        <w:t>的基本</w:t>
      </w:r>
      <w:r>
        <w:rPr>
          <w:rFonts w:hint="default" w:ascii="Times New Roman" w:hAnsi="Times New Roman" w:eastAsia="方正楷体简体" w:cs="Times New Roman"/>
          <w:b w:val="0"/>
          <w:bCs w:val="0"/>
          <w:highlight w:val="none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cs="Times New Roman"/>
          <w:b/>
          <w:bCs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bCs/>
          <w:highlight w:val="none"/>
          <w:lang w:val="en-US" w:eastAsia="zh-CN"/>
        </w:rPr>
        <w:t>1.</w:t>
      </w:r>
      <w:r>
        <w:rPr>
          <w:rFonts w:hint="default" w:ascii="Times New Roman" w:hAnsi="Times New Roman" w:cs="Times New Roman"/>
          <w:b/>
          <w:bCs/>
          <w:highlight w:val="none"/>
        </w:rPr>
        <w:t>一般公共预算完成情况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highlight w:val="none"/>
        </w:rPr>
        <w:t>202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1</w:t>
      </w:r>
      <w:r>
        <w:rPr>
          <w:rFonts w:hint="default" w:ascii="Times New Roman" w:hAnsi="Times New Roman" w:cs="Times New Roman"/>
          <w:highlight w:val="none"/>
        </w:rPr>
        <w:t>年一般公共预算收入</w:t>
      </w:r>
      <w:r>
        <w:rPr>
          <w:rFonts w:hint="default" w:ascii="Times New Roman" w:hAnsi="Times New Roman" w:cs="Times New Roman"/>
          <w:highlight w:val="none"/>
          <w:shd w:val="clear" w:color="auto" w:fill="FFFFFF"/>
          <w:lang w:val="en-US" w:eastAsia="zh-CN"/>
        </w:rPr>
        <w:t>120013</w:t>
      </w:r>
      <w:r>
        <w:rPr>
          <w:rFonts w:hint="default" w:ascii="Times New Roman" w:hAnsi="Times New Roman" w:cs="Times New Roman"/>
          <w:highlight w:val="none"/>
          <w:shd w:val="clear" w:color="auto" w:fill="FFFFFF"/>
        </w:rPr>
        <w:t>万元</w:t>
      </w:r>
      <w:r>
        <w:rPr>
          <w:rFonts w:hint="default" w:ascii="Times New Roman" w:hAnsi="Times New Roman" w:cs="Times New Roman"/>
          <w:highlight w:val="none"/>
        </w:rPr>
        <w:t>，</w:t>
      </w:r>
      <w:r>
        <w:rPr>
          <w:rFonts w:hint="eastAsia" w:cs="Times New Roman"/>
          <w:highlight w:val="none"/>
          <w:lang w:val="en-US" w:eastAsia="zh-CN"/>
        </w:rPr>
        <w:t>为</w:t>
      </w:r>
      <w:r>
        <w:rPr>
          <w:rFonts w:hint="default" w:ascii="Times New Roman" w:hAnsi="Times New Roman" w:cs="Times New Roman"/>
          <w:highlight w:val="none"/>
        </w:rPr>
        <w:t>预算的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102.8</w:t>
      </w:r>
      <w:r>
        <w:rPr>
          <w:rFonts w:hint="default" w:ascii="Times New Roman" w:hAnsi="Times New Roman" w:cs="Times New Roman"/>
          <w:highlight w:val="none"/>
        </w:rPr>
        <w:t>%，</w:t>
      </w:r>
      <w:r>
        <w:rPr>
          <w:rFonts w:hint="default" w:ascii="Times New Roman" w:hAnsi="Times New Roman" w:cs="Times New Roman"/>
          <w:highlight w:val="none"/>
          <w:shd w:val="clear" w:color="auto" w:fill="FFFFFF"/>
        </w:rPr>
        <w:t>比上年增长（以下简称增长）</w:t>
      </w:r>
      <w:r>
        <w:rPr>
          <w:rFonts w:hint="default" w:ascii="Times New Roman" w:hAnsi="Times New Roman" w:cs="Times New Roman"/>
          <w:highlight w:val="none"/>
          <w:shd w:val="clear" w:color="auto" w:fill="FFFFFF"/>
          <w:lang w:val="en-US" w:eastAsia="zh-CN"/>
        </w:rPr>
        <w:t>18.2</w:t>
      </w:r>
      <w:r>
        <w:rPr>
          <w:rFonts w:hint="default" w:ascii="Times New Roman" w:hAnsi="Times New Roman" w:cs="Times New Roman"/>
          <w:highlight w:val="none"/>
          <w:shd w:val="clear" w:color="auto" w:fill="FFFFFF"/>
        </w:rPr>
        <w:t>%。其中：税收收入</w:t>
      </w:r>
      <w:r>
        <w:rPr>
          <w:rFonts w:hint="default" w:ascii="Times New Roman" w:hAnsi="Times New Roman" w:cs="Times New Roman"/>
          <w:highlight w:val="none"/>
          <w:shd w:val="clear" w:color="auto" w:fill="FFFFFF"/>
          <w:lang w:val="en-US" w:eastAsia="zh-CN"/>
        </w:rPr>
        <w:t>89818</w:t>
      </w:r>
      <w:r>
        <w:rPr>
          <w:rFonts w:hint="default" w:ascii="Times New Roman" w:hAnsi="Times New Roman" w:cs="Times New Roman"/>
          <w:highlight w:val="none"/>
          <w:shd w:val="clear" w:color="auto" w:fill="FFFFFF"/>
        </w:rPr>
        <w:t>万元，</w:t>
      </w:r>
      <w:r>
        <w:rPr>
          <w:rFonts w:hint="eastAsia" w:cs="Times New Roman"/>
          <w:highlight w:val="none"/>
          <w:shd w:val="clear" w:color="auto" w:fill="FFFFFF"/>
          <w:lang w:val="en-US" w:eastAsia="zh-CN"/>
        </w:rPr>
        <w:t>为</w:t>
      </w:r>
      <w:r>
        <w:rPr>
          <w:rFonts w:hint="default" w:ascii="Times New Roman" w:hAnsi="Times New Roman" w:cs="Times New Roman"/>
          <w:highlight w:val="none"/>
          <w:shd w:val="clear" w:color="auto" w:fill="FFFFFF"/>
        </w:rPr>
        <w:t>预算的</w:t>
      </w:r>
      <w:r>
        <w:rPr>
          <w:rFonts w:hint="default" w:ascii="Times New Roman" w:hAnsi="Times New Roman" w:cs="Times New Roman"/>
          <w:highlight w:val="none"/>
          <w:shd w:val="clear" w:color="auto" w:fill="FFFFFF"/>
          <w:lang w:val="en-US" w:eastAsia="zh-CN"/>
        </w:rPr>
        <w:t>92.9</w:t>
      </w:r>
      <w:r>
        <w:rPr>
          <w:highlight w:val="none"/>
          <w:shd w:val="clear" w:color="auto" w:fill="FFFFFF"/>
        </w:rPr>
        <w:t>%</w:t>
      </w:r>
      <w:r>
        <w:rPr>
          <w:rFonts w:hint="eastAsia" w:cs="方正仿宋简体"/>
          <w:highlight w:val="none"/>
          <w:shd w:val="clear" w:color="auto" w:fill="FFFFFF"/>
        </w:rPr>
        <w:t>，增长</w:t>
      </w:r>
      <w:r>
        <w:rPr>
          <w:highlight w:val="none"/>
          <w:shd w:val="clear" w:color="auto" w:fill="FFFFFF"/>
        </w:rPr>
        <w:t>1</w:t>
      </w:r>
      <w:r>
        <w:rPr>
          <w:rFonts w:hint="eastAsia"/>
          <w:highlight w:val="none"/>
          <w:shd w:val="clear" w:color="auto" w:fill="FFFFFF"/>
          <w:lang w:val="en-US" w:eastAsia="zh-CN"/>
        </w:rPr>
        <w:t>2</w:t>
      </w:r>
      <w:r>
        <w:rPr>
          <w:highlight w:val="none"/>
          <w:shd w:val="clear" w:color="auto" w:fill="FFFFFF"/>
        </w:rPr>
        <w:t>.8%</w:t>
      </w:r>
      <w:r>
        <w:rPr>
          <w:rFonts w:hint="eastAsia" w:cs="方正仿宋简体"/>
          <w:highlight w:val="none"/>
          <w:shd w:val="clear" w:color="auto" w:fill="FFFFFF"/>
        </w:rPr>
        <w:t>；非税收入</w:t>
      </w:r>
      <w:r>
        <w:rPr>
          <w:rFonts w:hint="eastAsia"/>
          <w:highlight w:val="none"/>
          <w:shd w:val="clear" w:color="auto" w:fill="FFFFFF"/>
          <w:lang w:val="en-US" w:eastAsia="zh-CN"/>
        </w:rPr>
        <w:t>30195</w:t>
      </w:r>
      <w:r>
        <w:rPr>
          <w:rFonts w:hint="eastAsia" w:cs="方正仿宋简体"/>
          <w:highlight w:val="none"/>
          <w:shd w:val="clear" w:color="auto" w:fill="FFFFFF"/>
        </w:rPr>
        <w:t>万元，</w:t>
      </w:r>
      <w:r>
        <w:rPr>
          <w:rFonts w:hint="eastAsia" w:cs="方正仿宋简体"/>
          <w:highlight w:val="none"/>
          <w:shd w:val="clear" w:color="auto" w:fill="FFFFFF"/>
          <w:lang w:val="en-US" w:eastAsia="zh-CN"/>
        </w:rPr>
        <w:t>为</w:t>
      </w:r>
      <w:r>
        <w:rPr>
          <w:rFonts w:hint="eastAsia" w:cs="方正仿宋简体"/>
          <w:highlight w:val="none"/>
          <w:shd w:val="clear" w:color="auto" w:fill="FFFFFF"/>
        </w:rPr>
        <w:t>预算的</w:t>
      </w:r>
      <w:r>
        <w:rPr>
          <w:rFonts w:hint="eastAsia"/>
          <w:highlight w:val="none"/>
          <w:shd w:val="clear" w:color="auto" w:fill="FFFFFF"/>
          <w:lang w:val="en-US" w:eastAsia="zh-CN"/>
        </w:rPr>
        <w:t>150.3</w:t>
      </w:r>
      <w:r>
        <w:rPr>
          <w:highlight w:val="none"/>
          <w:shd w:val="clear" w:color="auto" w:fill="FFFFFF"/>
        </w:rPr>
        <w:t>%</w:t>
      </w:r>
      <w:r>
        <w:rPr>
          <w:rFonts w:hint="eastAsia" w:cs="方正仿宋简体"/>
          <w:highlight w:val="none"/>
          <w:shd w:val="clear" w:color="auto" w:fill="FFFFFF"/>
        </w:rPr>
        <w:t>，增长</w:t>
      </w:r>
      <w:r>
        <w:rPr>
          <w:rFonts w:hint="eastAsia"/>
          <w:highlight w:val="none"/>
          <w:shd w:val="clear" w:color="auto" w:fill="FFFFFF"/>
          <w:lang w:val="en-US" w:eastAsia="zh-CN"/>
        </w:rPr>
        <w:t>37.7</w:t>
      </w:r>
      <w:r>
        <w:rPr>
          <w:highlight w:val="none"/>
          <w:shd w:val="clear" w:color="auto" w:fill="FFFFFF"/>
        </w:rPr>
        <w:t>%</w:t>
      </w:r>
      <w:r>
        <w:rPr>
          <w:rFonts w:hint="eastAsia" w:cs="方正仿宋简体"/>
          <w:highlight w:val="none"/>
          <w:shd w:val="clear" w:color="auto" w:fill="FFFFFF"/>
        </w:rPr>
        <w:t>。加上上级补助收入</w:t>
      </w:r>
      <w:r>
        <w:rPr>
          <w:rFonts w:hint="eastAsia"/>
          <w:highlight w:val="none"/>
          <w:shd w:val="clear" w:color="auto" w:fill="FFFFFF"/>
          <w:lang w:val="en-US" w:eastAsia="zh-CN"/>
        </w:rPr>
        <w:t>19976</w:t>
      </w:r>
      <w:r>
        <w:rPr>
          <w:rFonts w:hint="eastAsia" w:cs="方正仿宋简体"/>
          <w:highlight w:val="none"/>
          <w:shd w:val="clear" w:color="auto" w:fill="FFFFFF"/>
        </w:rPr>
        <w:t>万元、体制上解收入</w:t>
      </w:r>
      <w:r>
        <w:rPr>
          <w:highlight w:val="none"/>
          <w:shd w:val="clear" w:color="auto" w:fill="FFFFFF"/>
        </w:rPr>
        <w:t>-</w:t>
      </w:r>
      <w:r>
        <w:rPr>
          <w:rFonts w:hint="eastAsia"/>
          <w:highlight w:val="none"/>
          <w:shd w:val="clear" w:color="auto" w:fill="FFFFFF"/>
          <w:lang w:val="en-US" w:eastAsia="zh-CN"/>
        </w:rPr>
        <w:t>23314</w:t>
      </w:r>
      <w:r>
        <w:rPr>
          <w:rFonts w:hint="eastAsia" w:cs="方正仿宋简体"/>
          <w:highlight w:val="none"/>
          <w:shd w:val="clear" w:color="auto" w:fill="FFFFFF"/>
        </w:rPr>
        <w:t>万元、上年结余收入</w:t>
      </w:r>
      <w:r>
        <w:rPr>
          <w:rFonts w:hint="eastAsia"/>
          <w:highlight w:val="none"/>
          <w:shd w:val="clear" w:color="auto" w:fill="FFFFFF"/>
          <w:lang w:val="en-US" w:eastAsia="zh-CN"/>
        </w:rPr>
        <w:t>38014</w:t>
      </w:r>
      <w:r>
        <w:rPr>
          <w:rFonts w:hint="eastAsia" w:cs="方正仿宋简体"/>
          <w:highlight w:val="none"/>
          <w:shd w:val="clear" w:color="auto" w:fill="FFFFFF"/>
        </w:rPr>
        <w:t>万元、债</w:t>
      </w:r>
      <w:r>
        <w:rPr>
          <w:rFonts w:hint="eastAsia" w:cs="方正仿宋简体"/>
          <w:highlight w:val="none"/>
          <w:shd w:val="clear" w:color="auto" w:fill="FFFFFF"/>
          <w:lang w:val="en-US" w:eastAsia="zh-CN"/>
        </w:rPr>
        <w:t>务</w:t>
      </w:r>
      <w:r>
        <w:rPr>
          <w:rFonts w:hint="eastAsia" w:cs="方正仿宋简体"/>
          <w:highlight w:val="none"/>
          <w:shd w:val="clear" w:color="auto" w:fill="FFFFFF"/>
        </w:rPr>
        <w:t>转贷收入（再融资债券）</w:t>
      </w:r>
      <w:r>
        <w:rPr>
          <w:rFonts w:hint="eastAsia"/>
          <w:highlight w:val="none"/>
          <w:shd w:val="clear" w:color="auto" w:fill="FFFFFF"/>
          <w:lang w:val="en-US" w:eastAsia="zh-CN"/>
        </w:rPr>
        <w:t>15</w:t>
      </w:r>
      <w:r>
        <w:rPr>
          <w:highlight w:val="none"/>
          <w:shd w:val="clear" w:color="auto" w:fill="FFFFFF"/>
        </w:rPr>
        <w:t>00</w:t>
      </w:r>
      <w:r>
        <w:rPr>
          <w:rFonts w:hint="eastAsia" w:cs="方正仿宋简体"/>
          <w:highlight w:val="none"/>
          <w:shd w:val="clear" w:color="auto" w:fill="FFFFFF"/>
        </w:rPr>
        <w:t>万元、</w:t>
      </w:r>
      <w:r>
        <w:rPr>
          <w:rFonts w:hint="eastAsia" w:cs="方正仿宋简体"/>
          <w:highlight w:val="none"/>
          <w:shd w:val="clear" w:color="auto" w:fill="FFFFFF"/>
          <w:lang w:val="en-US" w:eastAsia="zh-CN"/>
        </w:rPr>
        <w:t>调入</w:t>
      </w:r>
      <w:r>
        <w:rPr>
          <w:rFonts w:hint="eastAsia" w:cs="方正仿宋简体"/>
          <w:highlight w:val="none"/>
          <w:shd w:val="clear" w:color="auto" w:fill="FFFFFF"/>
        </w:rPr>
        <w:t>预算稳定调节基金</w:t>
      </w:r>
      <w:r>
        <w:rPr>
          <w:rFonts w:hint="eastAsia"/>
          <w:highlight w:val="none"/>
          <w:shd w:val="clear" w:color="auto" w:fill="FFFFFF"/>
          <w:lang w:val="en-US" w:eastAsia="zh-CN"/>
        </w:rPr>
        <w:t>266</w:t>
      </w:r>
      <w:r>
        <w:rPr>
          <w:highlight w:val="none"/>
          <w:shd w:val="clear" w:color="auto" w:fill="FFFFFF"/>
        </w:rPr>
        <w:t>00</w:t>
      </w:r>
      <w:r>
        <w:rPr>
          <w:rFonts w:hint="eastAsia" w:cs="方正仿宋简体"/>
          <w:highlight w:val="none"/>
          <w:shd w:val="clear" w:color="auto" w:fill="FFFFFF"/>
        </w:rPr>
        <w:t>万元和调入资金</w:t>
      </w:r>
      <w:r>
        <w:rPr>
          <w:rFonts w:hint="eastAsia"/>
          <w:highlight w:val="none"/>
          <w:shd w:val="clear" w:color="auto" w:fill="FFFFFF"/>
          <w:lang w:val="en-US" w:eastAsia="zh-CN"/>
        </w:rPr>
        <w:t>45</w:t>
      </w:r>
      <w:r>
        <w:rPr>
          <w:rFonts w:hint="eastAsia" w:cs="方正仿宋简体"/>
          <w:highlight w:val="none"/>
          <w:shd w:val="clear" w:color="auto" w:fill="FFFFFF"/>
        </w:rPr>
        <w:t>万元，收入总计</w:t>
      </w:r>
      <w:r>
        <w:rPr>
          <w:rFonts w:hint="eastAsia"/>
          <w:highlight w:val="none"/>
          <w:shd w:val="clear" w:color="auto" w:fill="FFFFFF"/>
          <w:lang w:val="en-US" w:eastAsia="zh-CN"/>
        </w:rPr>
        <w:t>182834</w:t>
      </w:r>
      <w:r>
        <w:rPr>
          <w:rFonts w:hint="eastAsia" w:cs="方正仿宋简体"/>
          <w:highlight w:val="none"/>
          <w:shd w:val="clear" w:color="auto" w:fill="FFFFFF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highlight w:val="none"/>
          <w:shd w:val="clear" w:color="auto" w:fill="FFFFFF"/>
        </w:rPr>
      </w:pPr>
      <w:r>
        <w:rPr>
          <w:highlight w:val="none"/>
          <w:shd w:val="clear" w:color="auto" w:fill="FFFFFF"/>
        </w:rPr>
        <w:t>202</w:t>
      </w:r>
      <w:r>
        <w:rPr>
          <w:rFonts w:hint="eastAsia"/>
          <w:highlight w:val="none"/>
          <w:shd w:val="clear" w:color="auto" w:fill="FFFFFF"/>
          <w:lang w:val="en-US" w:eastAsia="zh-CN"/>
        </w:rPr>
        <w:t>1</w:t>
      </w:r>
      <w:r>
        <w:rPr>
          <w:rFonts w:hint="eastAsia" w:cs="方正仿宋简体"/>
          <w:highlight w:val="none"/>
          <w:shd w:val="clear" w:color="auto" w:fill="FFFFFF"/>
        </w:rPr>
        <w:t>年一般公共预算支出</w:t>
      </w:r>
      <w:r>
        <w:rPr>
          <w:rFonts w:hint="eastAsia"/>
          <w:highlight w:val="none"/>
          <w:shd w:val="clear" w:color="auto" w:fill="FFFFFF"/>
          <w:lang w:val="en-US" w:eastAsia="zh-CN"/>
        </w:rPr>
        <w:t>154940</w:t>
      </w:r>
      <w:r>
        <w:rPr>
          <w:rFonts w:hint="eastAsia" w:cs="方正仿宋简体"/>
          <w:highlight w:val="none"/>
          <w:shd w:val="clear" w:color="auto" w:fill="FFFFFF"/>
        </w:rPr>
        <w:t>万元，</w:t>
      </w:r>
      <w:r>
        <w:rPr>
          <w:rFonts w:hint="eastAsia" w:cs="方正仿宋简体"/>
          <w:highlight w:val="none"/>
        </w:rPr>
        <w:t>完成预算的</w:t>
      </w:r>
      <w:r>
        <w:rPr>
          <w:rFonts w:hint="eastAsia"/>
          <w:highlight w:val="none"/>
          <w:lang w:val="en-US" w:eastAsia="zh-CN"/>
        </w:rPr>
        <w:t>90.8</w:t>
      </w:r>
      <w:r>
        <w:rPr>
          <w:highlight w:val="none"/>
        </w:rPr>
        <w:t>%</w:t>
      </w:r>
      <w:r>
        <w:rPr>
          <w:rFonts w:hint="eastAsia" w:cs="方正仿宋简体"/>
          <w:highlight w:val="none"/>
        </w:rPr>
        <w:t>，增长</w:t>
      </w:r>
      <w:r>
        <w:rPr>
          <w:rFonts w:hint="eastAsia"/>
          <w:highlight w:val="none"/>
          <w:lang w:val="en-US" w:eastAsia="zh-CN"/>
        </w:rPr>
        <w:t>10.7</w:t>
      </w:r>
      <w:r>
        <w:rPr>
          <w:highlight w:val="none"/>
        </w:rPr>
        <w:t>%</w:t>
      </w:r>
      <w:r>
        <w:rPr>
          <w:rFonts w:hint="eastAsia" w:cs="方正仿宋简体"/>
          <w:highlight w:val="none"/>
        </w:rPr>
        <w:t>。</w:t>
      </w:r>
      <w:r>
        <w:rPr>
          <w:rFonts w:hint="eastAsia" w:cs="方正仿宋简体"/>
          <w:highlight w:val="none"/>
          <w:shd w:val="clear" w:color="auto" w:fill="FFFFFF"/>
        </w:rPr>
        <w:t>加上上解上级支出</w:t>
      </w:r>
      <w:r>
        <w:rPr>
          <w:rFonts w:hint="eastAsia"/>
          <w:highlight w:val="none"/>
          <w:shd w:val="clear" w:color="auto" w:fill="FFFFFF"/>
          <w:lang w:val="en-US" w:eastAsia="zh-CN"/>
        </w:rPr>
        <w:t>957</w:t>
      </w:r>
      <w:r>
        <w:rPr>
          <w:rFonts w:hint="eastAsia" w:cs="方正仿宋简体"/>
          <w:highlight w:val="none"/>
          <w:shd w:val="clear" w:color="auto" w:fill="FFFFFF"/>
        </w:rPr>
        <w:t>万元、债务还本支出</w:t>
      </w:r>
      <w:r>
        <w:rPr>
          <w:rFonts w:hint="eastAsia"/>
          <w:highlight w:val="none"/>
          <w:shd w:val="clear" w:color="auto" w:fill="FFFFFF"/>
          <w:lang w:val="en-US" w:eastAsia="zh-CN"/>
        </w:rPr>
        <w:t>1690</w:t>
      </w:r>
      <w:r>
        <w:rPr>
          <w:rFonts w:hint="eastAsia" w:cs="方正仿宋简体"/>
          <w:highlight w:val="none"/>
          <w:shd w:val="clear" w:color="auto" w:fill="FFFFFF"/>
        </w:rPr>
        <w:t>万元和安排预算稳定调节基金</w:t>
      </w:r>
      <w:r>
        <w:rPr>
          <w:rFonts w:hint="eastAsia"/>
          <w:highlight w:val="none"/>
          <w:shd w:val="clear" w:color="auto" w:fill="FFFFFF"/>
          <w:lang w:val="en-US" w:eastAsia="zh-CN"/>
        </w:rPr>
        <w:t>6417</w:t>
      </w:r>
      <w:r>
        <w:rPr>
          <w:rFonts w:hint="eastAsia" w:cs="方正仿宋简体"/>
          <w:highlight w:val="none"/>
          <w:shd w:val="clear" w:color="auto" w:fill="FFFFFF"/>
        </w:rPr>
        <w:t>万元，支出总计</w:t>
      </w:r>
      <w:r>
        <w:rPr>
          <w:rFonts w:hint="eastAsia"/>
          <w:highlight w:val="none"/>
          <w:shd w:val="clear" w:color="auto" w:fill="FFFFFF"/>
          <w:lang w:val="en-US" w:eastAsia="zh-CN"/>
        </w:rPr>
        <w:t>164004</w:t>
      </w:r>
      <w:r>
        <w:rPr>
          <w:rFonts w:hint="eastAsia" w:cs="方正仿宋简体"/>
          <w:highlight w:val="none"/>
          <w:shd w:val="clear" w:color="auto" w:fill="FFFFFF"/>
        </w:rPr>
        <w:t>万元。收支相抵，结转下年</w:t>
      </w:r>
      <w:r>
        <w:rPr>
          <w:rFonts w:hint="eastAsia"/>
          <w:highlight w:val="none"/>
          <w:shd w:val="clear" w:color="auto" w:fill="FFFFFF"/>
          <w:lang w:val="en-US" w:eastAsia="zh-CN"/>
        </w:rPr>
        <w:t>18830</w:t>
      </w:r>
      <w:r>
        <w:rPr>
          <w:rFonts w:hint="eastAsia" w:cs="方正仿宋简体"/>
          <w:highlight w:val="none"/>
          <w:shd w:val="clear" w:color="auto" w:fill="FFFFFF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cs="Times New Roman"/>
          <w:b/>
          <w:bCs/>
          <w:highlight w:val="none"/>
          <w:lang w:eastAsia="zh-CN"/>
        </w:rPr>
      </w:pPr>
      <w:r>
        <w:rPr>
          <w:rFonts w:hint="eastAsia" w:ascii="Times New Roman" w:hAnsi="Times New Roman" w:cs="Times New Roman"/>
          <w:b/>
          <w:bCs/>
          <w:highlight w:val="none"/>
          <w:lang w:val="en-US" w:eastAsia="zh-CN"/>
        </w:rPr>
        <w:t>2.</w:t>
      </w:r>
      <w:r>
        <w:rPr>
          <w:rFonts w:hint="eastAsia" w:ascii="Times New Roman" w:hAnsi="Times New Roman" w:cs="Times New Roman"/>
          <w:b/>
          <w:bCs/>
          <w:highlight w:val="none"/>
          <w:lang w:eastAsia="zh-CN"/>
        </w:rPr>
        <w:t>政府性基金</w:t>
      </w:r>
      <w:r>
        <w:rPr>
          <w:rFonts w:hint="eastAsia" w:cs="Times New Roman"/>
          <w:b/>
          <w:bCs/>
          <w:highlight w:val="none"/>
          <w:lang w:val="en-US" w:eastAsia="zh-CN"/>
        </w:rPr>
        <w:t>预算</w:t>
      </w:r>
      <w:r>
        <w:rPr>
          <w:rFonts w:hint="eastAsia" w:ascii="Times New Roman" w:hAnsi="Times New Roman" w:cs="Times New Roman"/>
          <w:b/>
          <w:bCs/>
          <w:highlight w:val="none"/>
          <w:lang w:eastAsia="zh-CN"/>
        </w:rPr>
        <w:t>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highlight w:val="none"/>
        </w:rPr>
      </w:pPr>
      <w:r>
        <w:rPr>
          <w:highlight w:val="none"/>
        </w:rPr>
        <w:t>202</w:t>
      </w:r>
      <w:r>
        <w:rPr>
          <w:rFonts w:hint="eastAsia"/>
          <w:highlight w:val="none"/>
          <w:lang w:val="en-US" w:eastAsia="zh-CN"/>
        </w:rPr>
        <w:t>1</w:t>
      </w:r>
      <w:r>
        <w:rPr>
          <w:rFonts w:hint="eastAsia" w:cs="方正仿宋简体"/>
          <w:highlight w:val="none"/>
        </w:rPr>
        <w:t>年政府性基金收入完成</w:t>
      </w:r>
      <w:r>
        <w:rPr>
          <w:rFonts w:hint="eastAsia"/>
          <w:highlight w:val="none"/>
          <w:lang w:val="en-US" w:eastAsia="zh-CN"/>
        </w:rPr>
        <w:t>107085</w:t>
      </w:r>
      <w:r>
        <w:rPr>
          <w:rFonts w:hint="eastAsia" w:cs="方正仿宋简体"/>
          <w:highlight w:val="none"/>
        </w:rPr>
        <w:t>万元，</w:t>
      </w:r>
      <w:r>
        <w:rPr>
          <w:rFonts w:hint="eastAsia" w:cs="方正仿宋简体"/>
          <w:highlight w:val="none"/>
          <w:lang w:val="en-US" w:eastAsia="zh-CN"/>
        </w:rPr>
        <w:t>为</w:t>
      </w:r>
      <w:r>
        <w:rPr>
          <w:rFonts w:hint="eastAsia" w:cs="方正仿宋简体"/>
          <w:highlight w:val="none"/>
        </w:rPr>
        <w:t>预算的</w:t>
      </w:r>
      <w:r>
        <w:rPr>
          <w:rFonts w:hint="eastAsia"/>
          <w:highlight w:val="none"/>
          <w:lang w:val="en-US" w:eastAsia="zh-CN"/>
        </w:rPr>
        <w:t>101.8</w:t>
      </w:r>
      <w:r>
        <w:rPr>
          <w:highlight w:val="none"/>
        </w:rPr>
        <w:t>%</w:t>
      </w:r>
      <w:r>
        <w:rPr>
          <w:rFonts w:hint="eastAsia" w:cs="方正仿宋简体"/>
          <w:highlight w:val="none"/>
        </w:rPr>
        <w:t>，</w:t>
      </w:r>
      <w:r>
        <w:rPr>
          <w:rFonts w:hint="default" w:ascii="Times New Roman" w:hAnsi="Times New Roman" w:cs="Times New Roman"/>
          <w:highlight w:val="none"/>
          <w:shd w:val="clear" w:color="auto" w:fill="FFFFFF"/>
        </w:rPr>
        <w:t>比上年</w:t>
      </w:r>
      <w:r>
        <w:rPr>
          <w:rFonts w:hint="eastAsia" w:cs="方正仿宋简体"/>
          <w:highlight w:val="none"/>
        </w:rPr>
        <w:t>下降</w:t>
      </w:r>
      <w:r>
        <w:rPr>
          <w:rFonts w:hint="eastAsia"/>
          <w:highlight w:val="none"/>
          <w:lang w:val="en-US" w:eastAsia="zh-CN"/>
        </w:rPr>
        <w:t>56.6</w:t>
      </w:r>
      <w:r>
        <w:rPr>
          <w:highlight w:val="none"/>
        </w:rPr>
        <w:t>%</w:t>
      </w:r>
      <w:r>
        <w:rPr>
          <w:rFonts w:hint="eastAsia" w:cs="方正仿宋简体"/>
          <w:highlight w:val="none"/>
        </w:rPr>
        <w:t>。加上上级补助收入</w:t>
      </w:r>
      <w:r>
        <w:rPr>
          <w:rFonts w:hint="eastAsia"/>
          <w:highlight w:val="none"/>
          <w:lang w:val="en-US" w:eastAsia="zh-CN"/>
        </w:rPr>
        <w:t>-1290</w:t>
      </w:r>
      <w:r>
        <w:rPr>
          <w:rFonts w:hint="eastAsia" w:cs="方正仿宋简体"/>
          <w:highlight w:val="none"/>
        </w:rPr>
        <w:t>万元、</w:t>
      </w:r>
      <w:r>
        <w:rPr>
          <w:rFonts w:hint="eastAsia" w:cs="方正仿宋简体"/>
          <w:highlight w:val="none"/>
          <w:lang w:val="en-US" w:eastAsia="zh-CN"/>
        </w:rPr>
        <w:t>债务转贷</w:t>
      </w:r>
      <w:r>
        <w:rPr>
          <w:rFonts w:hint="eastAsia" w:cs="方正仿宋简体"/>
          <w:highlight w:val="none"/>
        </w:rPr>
        <w:t>收入</w:t>
      </w:r>
      <w:r>
        <w:rPr>
          <w:rFonts w:hint="eastAsia"/>
          <w:highlight w:val="none"/>
          <w:lang w:val="en-US" w:eastAsia="zh-CN"/>
        </w:rPr>
        <w:t>94700</w:t>
      </w:r>
      <w:r>
        <w:rPr>
          <w:rFonts w:hint="eastAsia" w:cs="方正仿宋简体"/>
          <w:highlight w:val="none"/>
        </w:rPr>
        <w:t>万元和上年结余收入</w:t>
      </w:r>
      <w:r>
        <w:rPr>
          <w:rFonts w:hint="eastAsia"/>
          <w:highlight w:val="none"/>
          <w:lang w:val="en-US" w:eastAsia="zh-CN"/>
        </w:rPr>
        <w:t>6928</w:t>
      </w:r>
      <w:r>
        <w:rPr>
          <w:rFonts w:hint="eastAsia" w:cs="方正仿宋简体"/>
          <w:highlight w:val="none"/>
        </w:rPr>
        <w:t>万元，收入总计</w:t>
      </w:r>
      <w:r>
        <w:rPr>
          <w:rFonts w:hint="eastAsia"/>
          <w:highlight w:val="none"/>
          <w:lang w:val="en-US" w:eastAsia="zh-CN"/>
        </w:rPr>
        <w:t>207423</w:t>
      </w:r>
      <w:r>
        <w:rPr>
          <w:rFonts w:hint="eastAsia" w:cs="方正仿宋简体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highlight w:val="none"/>
        </w:rPr>
      </w:pPr>
      <w:r>
        <w:rPr>
          <w:highlight w:val="none"/>
        </w:rPr>
        <w:t>202</w:t>
      </w:r>
      <w:r>
        <w:rPr>
          <w:rFonts w:hint="eastAsia"/>
          <w:highlight w:val="none"/>
          <w:lang w:val="en-US" w:eastAsia="zh-CN"/>
        </w:rPr>
        <w:t>1</w:t>
      </w:r>
      <w:r>
        <w:rPr>
          <w:rFonts w:hint="eastAsia" w:cs="方正仿宋简体"/>
          <w:highlight w:val="none"/>
        </w:rPr>
        <w:t>年政府性基金区级支出</w:t>
      </w:r>
      <w:r>
        <w:rPr>
          <w:rFonts w:hint="eastAsia"/>
          <w:highlight w:val="none"/>
          <w:lang w:val="en-US" w:eastAsia="zh-CN"/>
        </w:rPr>
        <w:t>147336</w:t>
      </w:r>
      <w:r>
        <w:rPr>
          <w:rFonts w:hint="eastAsia" w:cs="方正仿宋简体"/>
          <w:highlight w:val="none"/>
        </w:rPr>
        <w:t>万元，</w:t>
      </w:r>
      <w:r>
        <w:rPr>
          <w:rFonts w:hint="eastAsia" w:cs="方正仿宋简体"/>
          <w:highlight w:val="none"/>
          <w:lang w:val="en-US" w:eastAsia="zh-CN"/>
        </w:rPr>
        <w:t>完成</w:t>
      </w:r>
      <w:r>
        <w:rPr>
          <w:rFonts w:hint="eastAsia" w:cs="方正仿宋简体"/>
          <w:highlight w:val="none"/>
        </w:rPr>
        <w:t>预算的</w:t>
      </w:r>
      <w:r>
        <w:rPr>
          <w:rFonts w:hint="eastAsia"/>
          <w:highlight w:val="none"/>
          <w:lang w:val="en-US" w:eastAsia="zh-CN"/>
        </w:rPr>
        <w:t>77.8</w:t>
      </w:r>
      <w:r>
        <w:rPr>
          <w:highlight w:val="none"/>
        </w:rPr>
        <w:t>%</w:t>
      </w:r>
      <w:r>
        <w:rPr>
          <w:rFonts w:hint="eastAsia" w:cs="方正仿宋简体"/>
          <w:highlight w:val="none"/>
        </w:rPr>
        <w:t>，</w:t>
      </w:r>
      <w:r>
        <w:rPr>
          <w:rFonts w:hint="eastAsia" w:cs="方正仿宋简体"/>
          <w:highlight w:val="none"/>
          <w:lang w:val="en-US" w:eastAsia="zh-CN"/>
        </w:rPr>
        <w:t>下降</w:t>
      </w:r>
      <w:r>
        <w:rPr>
          <w:rFonts w:hint="eastAsia"/>
          <w:highlight w:val="none"/>
          <w:lang w:val="en-US" w:eastAsia="zh-CN"/>
        </w:rPr>
        <w:t>41</w:t>
      </w:r>
      <w:r>
        <w:rPr>
          <w:highlight w:val="none"/>
        </w:rPr>
        <w:t>.1%</w:t>
      </w:r>
      <w:r>
        <w:rPr>
          <w:rFonts w:hint="eastAsia" w:cs="方正仿宋简体"/>
          <w:highlight w:val="none"/>
        </w:rPr>
        <w:t>。加上还本支出</w:t>
      </w:r>
      <w:r>
        <w:rPr>
          <w:rFonts w:hint="eastAsia"/>
          <w:highlight w:val="none"/>
          <w:lang w:val="en-US" w:eastAsia="zh-CN"/>
        </w:rPr>
        <w:t>17787</w:t>
      </w:r>
      <w:r>
        <w:rPr>
          <w:rFonts w:hint="eastAsia" w:cs="方正仿宋简体"/>
          <w:highlight w:val="none"/>
        </w:rPr>
        <w:t>万元和调出资金</w:t>
      </w:r>
      <w:r>
        <w:rPr>
          <w:highlight w:val="none"/>
        </w:rPr>
        <w:t>4</w:t>
      </w:r>
      <w:r>
        <w:rPr>
          <w:rFonts w:hint="eastAsia"/>
          <w:highlight w:val="none"/>
          <w:lang w:val="en-US" w:eastAsia="zh-CN"/>
        </w:rPr>
        <w:t>5</w:t>
      </w:r>
      <w:r>
        <w:rPr>
          <w:rFonts w:hint="eastAsia" w:cs="方正仿宋简体"/>
          <w:highlight w:val="none"/>
        </w:rPr>
        <w:t>万元，支出总计</w:t>
      </w:r>
      <w:r>
        <w:rPr>
          <w:rFonts w:hint="eastAsia"/>
          <w:highlight w:val="none"/>
          <w:lang w:val="en-US" w:eastAsia="zh-CN"/>
        </w:rPr>
        <w:t>165168</w:t>
      </w:r>
      <w:r>
        <w:rPr>
          <w:rFonts w:hint="eastAsia" w:cs="方正仿宋简体"/>
          <w:highlight w:val="none"/>
        </w:rPr>
        <w:t>万元。收支相抵，结转下年</w:t>
      </w:r>
      <w:r>
        <w:rPr>
          <w:rFonts w:hint="eastAsia"/>
          <w:highlight w:val="none"/>
          <w:lang w:val="en-US" w:eastAsia="zh-CN"/>
        </w:rPr>
        <w:t>42255</w:t>
      </w:r>
      <w:r>
        <w:rPr>
          <w:rFonts w:hint="eastAsia" w:cs="方正仿宋简体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cs="Times New Roman"/>
          <w:b/>
          <w:bCs/>
          <w:highlight w:val="none"/>
          <w:lang w:eastAsia="zh-CN"/>
        </w:rPr>
      </w:pPr>
      <w:r>
        <w:rPr>
          <w:rFonts w:hint="eastAsia" w:ascii="Times New Roman" w:hAnsi="Times New Roman" w:cs="Times New Roman"/>
          <w:b/>
          <w:bCs/>
          <w:highlight w:val="none"/>
          <w:lang w:val="en-US" w:eastAsia="zh-CN"/>
        </w:rPr>
        <w:t>3.</w:t>
      </w:r>
      <w:r>
        <w:rPr>
          <w:rFonts w:hint="eastAsia" w:ascii="Times New Roman" w:hAnsi="Times New Roman" w:cs="Times New Roman"/>
          <w:b/>
          <w:bCs/>
          <w:highlight w:val="none"/>
          <w:lang w:eastAsia="zh-CN"/>
        </w:rPr>
        <w:t>社会保险基金</w:t>
      </w:r>
      <w:r>
        <w:rPr>
          <w:rFonts w:hint="eastAsia" w:cs="Times New Roman"/>
          <w:b/>
          <w:bCs/>
          <w:highlight w:val="none"/>
          <w:lang w:val="en-US" w:eastAsia="zh-CN"/>
        </w:rPr>
        <w:t>预算完成</w:t>
      </w:r>
      <w:r>
        <w:rPr>
          <w:rFonts w:hint="eastAsia" w:ascii="Times New Roman" w:hAnsi="Times New Roman" w:cs="Times New Roman"/>
          <w:b/>
          <w:bCs/>
          <w:highlight w:val="none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highlight w:val="none"/>
        </w:rPr>
      </w:pPr>
      <w:r>
        <w:rPr>
          <w:rFonts w:hint="eastAsia"/>
          <w:highlight w:val="none"/>
        </w:rPr>
        <w:t>2021年社会保险基金收入7521万元，加上上年结余7000万元，收入总计14521万元。社会保险基金支出6633万元。收支相抵，年末滚存结余7888万元</w:t>
      </w:r>
      <w:r>
        <w:rPr>
          <w:rFonts w:hint="eastAsia" w:cs="方正仿宋简体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cs="Times New Roman"/>
          <w:b/>
          <w:bCs/>
          <w:highlight w:val="none"/>
          <w:lang w:eastAsia="zh-CN"/>
        </w:rPr>
      </w:pPr>
      <w:r>
        <w:rPr>
          <w:rFonts w:hint="eastAsia" w:ascii="Times New Roman" w:hAnsi="Times New Roman" w:cs="Times New Roman"/>
          <w:b/>
          <w:bCs/>
          <w:highlight w:val="none"/>
          <w:lang w:val="en-US" w:eastAsia="zh-CN"/>
        </w:rPr>
        <w:t>4.</w:t>
      </w:r>
      <w:r>
        <w:rPr>
          <w:rFonts w:hint="eastAsia" w:ascii="Times New Roman" w:hAnsi="Times New Roman" w:cs="Times New Roman"/>
          <w:b/>
          <w:bCs/>
          <w:highlight w:val="none"/>
          <w:lang w:eastAsia="zh-CN"/>
        </w:rPr>
        <w:t>国有资本经营</w:t>
      </w:r>
      <w:r>
        <w:rPr>
          <w:rFonts w:hint="eastAsia" w:cs="Times New Roman"/>
          <w:b/>
          <w:bCs/>
          <w:highlight w:val="none"/>
          <w:lang w:val="en-US" w:eastAsia="zh-CN"/>
        </w:rPr>
        <w:t>预算完成</w:t>
      </w:r>
      <w:r>
        <w:rPr>
          <w:rFonts w:hint="eastAsia" w:ascii="Times New Roman" w:hAnsi="Times New Roman" w:cs="Times New Roman"/>
          <w:b/>
          <w:bCs/>
          <w:highlight w:val="none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eastAsia="方正仿宋简体" w:cs="方正仿宋简体"/>
          <w:lang w:eastAsia="zh-CN"/>
        </w:rPr>
      </w:pPr>
      <w:r>
        <w:t>202</w:t>
      </w:r>
      <w:r>
        <w:rPr>
          <w:rFonts w:hint="eastAsia"/>
          <w:lang w:val="en-US" w:eastAsia="zh-CN"/>
        </w:rPr>
        <w:t>1</w:t>
      </w:r>
      <w:r>
        <w:rPr>
          <w:rFonts w:hint="eastAsia" w:cs="方正仿宋简体"/>
        </w:rPr>
        <w:t>年</w:t>
      </w:r>
      <w:r>
        <w:rPr>
          <w:rFonts w:hint="eastAsia" w:cs="方正仿宋简体"/>
          <w:lang w:val="en-US" w:eastAsia="zh-CN"/>
        </w:rPr>
        <w:t>无</w:t>
      </w:r>
      <w:r>
        <w:rPr>
          <w:rFonts w:hint="eastAsia" w:cs="方正仿宋简体"/>
        </w:rPr>
        <w:t>国有资本经营</w:t>
      </w:r>
      <w:r>
        <w:rPr>
          <w:rFonts w:hint="eastAsia" w:cs="方正仿宋简体"/>
          <w:lang w:val="en-US" w:eastAsia="zh-CN"/>
        </w:rPr>
        <w:t>收入支出</w:t>
      </w:r>
      <w:r>
        <w:rPr>
          <w:rFonts w:hint="eastAsia" w:cs="方正仿宋简体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cs="Times New Roman"/>
          <w:b/>
          <w:bCs/>
          <w:highlight w:val="none"/>
          <w:lang w:val="en-US" w:eastAsia="zh-CN"/>
        </w:rPr>
      </w:pPr>
      <w:r>
        <w:rPr>
          <w:rFonts w:hint="eastAsia" w:cs="Times New Roman"/>
          <w:b/>
          <w:bCs/>
          <w:highlight w:val="none"/>
          <w:lang w:val="en-US" w:eastAsia="zh-CN"/>
        </w:rPr>
        <w:t>5.</w:t>
      </w:r>
      <w:r>
        <w:rPr>
          <w:rFonts w:hint="eastAsia" w:ascii="Times New Roman" w:hAnsi="Times New Roman" w:cs="Times New Roman"/>
          <w:b/>
          <w:bCs/>
          <w:highlight w:val="none"/>
          <w:lang w:val="en-US" w:eastAsia="zh-CN"/>
        </w:rPr>
        <w:t>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shd w:val="clear" w:color="auto" w:fill="FFFFFF"/>
        </w:rPr>
      </w:pPr>
      <w:r>
        <w:rPr>
          <w:shd w:val="clear" w:color="auto" w:fill="FFFFFF"/>
        </w:rPr>
        <w:t>202</w:t>
      </w:r>
      <w:r>
        <w:rPr>
          <w:rFonts w:hint="eastAsia"/>
          <w:shd w:val="clear" w:color="auto" w:fill="FFFFFF"/>
          <w:lang w:val="en-US" w:eastAsia="zh-CN"/>
        </w:rPr>
        <w:t>1</w:t>
      </w:r>
      <w:r>
        <w:rPr>
          <w:rFonts w:hint="eastAsia" w:cs="方正仿宋简体"/>
          <w:shd w:val="clear" w:color="auto" w:fill="FFFFFF"/>
        </w:rPr>
        <w:t>年年初债务余额为</w:t>
      </w:r>
      <w:r>
        <w:rPr>
          <w:rFonts w:hint="eastAsia"/>
          <w:shd w:val="clear" w:color="auto" w:fill="FFFFFF"/>
          <w:lang w:val="en-US" w:eastAsia="zh-CN"/>
        </w:rPr>
        <w:t>395862</w:t>
      </w:r>
      <w:r>
        <w:rPr>
          <w:rFonts w:hint="eastAsia" w:cs="方正仿宋简体"/>
          <w:shd w:val="clear" w:color="auto" w:fill="FFFFFF"/>
        </w:rPr>
        <w:t>万元，偿还本金</w:t>
      </w:r>
      <w:r>
        <w:rPr>
          <w:rFonts w:hint="eastAsia"/>
          <w:shd w:val="clear" w:color="auto" w:fill="FFFFFF"/>
          <w:lang w:val="en-US" w:eastAsia="zh-CN"/>
        </w:rPr>
        <w:t>10477</w:t>
      </w:r>
      <w:r>
        <w:rPr>
          <w:rFonts w:hint="eastAsia" w:cs="方正仿宋简体"/>
          <w:shd w:val="clear" w:color="auto" w:fill="FFFFFF"/>
        </w:rPr>
        <w:t>万元，新增专项债券资金</w:t>
      </w:r>
      <w:r>
        <w:rPr>
          <w:rFonts w:hint="eastAsia"/>
          <w:shd w:val="clear" w:color="auto" w:fill="FFFFFF"/>
          <w:lang w:val="en-US" w:eastAsia="zh-CN"/>
        </w:rPr>
        <w:t>87200</w:t>
      </w:r>
      <w:r>
        <w:rPr>
          <w:rFonts w:hint="eastAsia" w:cs="方正仿宋简体"/>
          <w:shd w:val="clear" w:color="auto" w:fill="FFFFFF"/>
        </w:rPr>
        <w:t>万元。截至</w:t>
      </w:r>
      <w:r>
        <w:rPr>
          <w:shd w:val="clear" w:color="auto" w:fill="FFFFFF"/>
        </w:rPr>
        <w:t>202</w:t>
      </w:r>
      <w:r>
        <w:rPr>
          <w:rFonts w:hint="eastAsia"/>
          <w:shd w:val="clear" w:color="auto" w:fill="FFFFFF"/>
          <w:lang w:val="en-US" w:eastAsia="zh-CN"/>
        </w:rPr>
        <w:t>1</w:t>
      </w:r>
      <w:r>
        <w:rPr>
          <w:rFonts w:hint="eastAsia" w:cs="方正仿宋简体"/>
          <w:shd w:val="clear" w:color="auto" w:fill="FFFFFF"/>
        </w:rPr>
        <w:t>年底，政府债务余额</w:t>
      </w:r>
      <w:r>
        <w:rPr>
          <w:rFonts w:hint="eastAsia"/>
          <w:shd w:val="clear" w:color="auto" w:fill="FFFFFF"/>
          <w:lang w:val="en-US" w:eastAsia="zh-CN"/>
        </w:rPr>
        <w:t>472585</w:t>
      </w:r>
      <w:r>
        <w:rPr>
          <w:rFonts w:hint="eastAsia" w:cs="方正仿宋简体"/>
          <w:shd w:val="clear" w:color="auto" w:fill="FFFFFF"/>
        </w:rPr>
        <w:t>万元，政府债务限额</w:t>
      </w:r>
      <w:r>
        <w:rPr>
          <w:rFonts w:hint="eastAsia"/>
          <w:shd w:val="clear" w:color="auto" w:fill="FFFFFF"/>
          <w:lang w:val="en-US" w:eastAsia="zh-CN"/>
        </w:rPr>
        <w:t>637602</w:t>
      </w:r>
      <w:r>
        <w:rPr>
          <w:rFonts w:hint="eastAsia" w:cs="方正仿宋简体"/>
          <w:shd w:val="clear" w:color="auto" w:fill="FFFFFF"/>
        </w:rPr>
        <w:t>万元</w:t>
      </w:r>
      <w:r>
        <w:rPr>
          <w:rFonts w:hint="eastAsia" w:cs="方正仿宋简体"/>
          <w:shd w:val="clear" w:color="auto" w:fill="FFFFFF"/>
          <w:lang w:eastAsia="zh-CN"/>
        </w:rPr>
        <w:t>，</w:t>
      </w:r>
      <w:r>
        <w:rPr>
          <w:rFonts w:hint="eastAsia" w:cs="方正仿宋简体"/>
          <w:shd w:val="clear" w:color="auto" w:fill="FFFFFF"/>
          <w:lang w:val="en-US" w:eastAsia="zh-CN"/>
        </w:rPr>
        <w:t>并</w:t>
      </w:r>
      <w:r>
        <w:rPr>
          <w:rFonts w:hint="eastAsia" w:cs="方正仿宋简体"/>
          <w:shd w:val="clear" w:color="auto" w:fill="FFFFFF"/>
        </w:rPr>
        <w:t>超额完成隐性债务化解任务。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60"/>
        <w:textAlignment w:val="auto"/>
      </w:pPr>
      <w:r>
        <w:rPr>
          <w:rFonts w:hint="eastAsia" w:cs="方正仿宋简体"/>
        </w:rPr>
        <w:t>需要说明的是</w:t>
      </w:r>
      <w:r>
        <w:rPr>
          <w:rFonts w:hint="eastAsia" w:cs="方正仿宋简体"/>
          <w:lang w:eastAsia="zh-CN"/>
        </w:rPr>
        <w:t>，</w:t>
      </w:r>
      <w:r>
        <w:rPr>
          <w:rFonts w:hint="eastAsia" w:cs="方正仿宋简体"/>
        </w:rPr>
        <w:t>随着上级财政部门结算的批复，上述预算执行结果还会有所变动，届时将依照程序向市人大常委会报告决算情况。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lang w:val="en-US" w:eastAsia="zh-CN"/>
        </w:rPr>
        <w:t>（二）落实市人大决议和重点工作开展情况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highlight w:val="green"/>
        </w:rPr>
      </w:pPr>
      <w:r>
        <w:t>202</w:t>
      </w:r>
      <w:r>
        <w:rPr>
          <w:rFonts w:hint="eastAsia"/>
          <w:lang w:val="en-US" w:eastAsia="zh-CN"/>
        </w:rPr>
        <w:t>1</w:t>
      </w:r>
      <w:r>
        <w:rPr>
          <w:rFonts w:hint="eastAsia" w:cs="方正仿宋简体"/>
        </w:rPr>
        <w:t>年，北戴河新区在市委、市政府的坚强领导和市人大常委会的监督支持下，深入贯彻落实各项决策部署，服务“六稳”“六保”工作大局，助力打好经济社会发展总体战。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cs="方正仿宋简体"/>
          <w:shd w:val="clear" w:color="auto" w:fill="FFFF0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highlight w:val="none"/>
          <w:lang w:val="en-US" w:eastAsia="zh-CN"/>
        </w:rPr>
        <w:t>1.突出“三保”重点，扎实办好惠民利民实事。</w:t>
      </w:r>
      <w:r>
        <w:rPr>
          <w:rFonts w:hint="eastAsia" w:cs="方正仿宋简体"/>
          <w:b/>
          <w:bCs/>
          <w:lang w:val="en-US" w:eastAsia="zh-CN"/>
        </w:rPr>
        <w:t>一是</w:t>
      </w:r>
      <w:r>
        <w:rPr>
          <w:rFonts w:hint="eastAsia" w:cs="方正仿宋简体"/>
          <w:lang w:val="en-US" w:eastAsia="zh-CN"/>
        </w:rPr>
        <w:t>安排教育支出25285万元，推动教育均衡发展再上新台阶。主要用于完善教育经费保障机制，逐步提高教师生活待遇，确保公办教师工资收入不低于公务员收入水平，大力推进南戴河实验学校合并迁建等教育基础设施建设。</w:t>
      </w:r>
      <w:r>
        <w:rPr>
          <w:rFonts w:hint="eastAsia" w:cs="方正仿宋简体"/>
          <w:b/>
          <w:bCs/>
          <w:lang w:val="en-US" w:eastAsia="zh-CN"/>
        </w:rPr>
        <w:t>二是</w:t>
      </w:r>
      <w:r>
        <w:rPr>
          <w:rFonts w:hint="eastAsia" w:cs="方正仿宋简体"/>
          <w:lang w:val="en-US" w:eastAsia="zh-CN"/>
        </w:rPr>
        <w:t>安排卫生健康支出8581万元，促进公共卫生体系建设再有新提升。建立疫情防控资金保障机制，畅通防疫物资采购渠道，全面落实疫情隔离防控费用、新冠病毒疫苗接种等，全力支持打赢疫情防控阻击战，改善基层医疗卫生条件，进一步提升公共卫生服务效能，提高应对突发公共卫生事件和重大疾病的防控能力，保障居民享受更好的基本公共卫生服务。</w:t>
      </w:r>
      <w:r>
        <w:rPr>
          <w:rFonts w:hint="eastAsia" w:cs="方正仿宋简体"/>
          <w:b/>
          <w:bCs/>
          <w:lang w:val="en-US" w:eastAsia="zh-CN"/>
        </w:rPr>
        <w:t>三是</w:t>
      </w:r>
      <w:r>
        <w:rPr>
          <w:rFonts w:hint="eastAsia" w:cs="方正仿宋简体"/>
          <w:lang w:val="en-US" w:eastAsia="zh-CN"/>
        </w:rPr>
        <w:t>安排社会保障和就业支出11974万元，支持社会保障体系建设取得新进展。及时发放基本养老保险金，足额落实城乡最低生活保障金、城乡特困人员救助，落实被征地农民补助政策，大力开展职业技能培训。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eastAsia="方正仿宋简体" w:cs="方正仿宋简体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highlight w:val="none"/>
          <w:lang w:val="en-US" w:eastAsia="zh-CN"/>
        </w:rPr>
        <w:t>2.坚持绿色发展，大力支持生态环境治理。</w:t>
      </w:r>
      <w:r>
        <w:rPr>
          <w:rFonts w:hint="eastAsia" w:cs="方正仿宋简体"/>
          <w:b/>
          <w:bCs/>
          <w:highlight w:val="none"/>
          <w:shd w:val="clear" w:color="auto" w:fill="auto"/>
        </w:rPr>
        <w:t>一是</w:t>
      </w:r>
      <w:r>
        <w:rPr>
          <w:rFonts w:hint="eastAsia" w:cs="方正仿宋简体"/>
          <w:highlight w:val="none"/>
          <w:shd w:val="clear" w:color="auto" w:fill="auto"/>
        </w:rPr>
        <w:t>支持大气污染防治。持续加大投入力度，统筹安排财政资金</w:t>
      </w:r>
      <w:r>
        <w:rPr>
          <w:rFonts w:hint="eastAsia"/>
          <w:highlight w:val="none"/>
          <w:shd w:val="clear" w:color="auto" w:fill="auto"/>
          <w:lang w:val="en-US" w:eastAsia="zh-CN"/>
        </w:rPr>
        <w:t>8056</w:t>
      </w:r>
      <w:r>
        <w:rPr>
          <w:rFonts w:hint="eastAsia" w:cs="方正仿宋简体"/>
          <w:highlight w:val="none"/>
          <w:shd w:val="clear" w:color="auto" w:fill="auto"/>
        </w:rPr>
        <w:t>万元，重点保障南戴河片区</w:t>
      </w:r>
      <w:r>
        <w:rPr>
          <w:rFonts w:hint="eastAsia" w:cs="方正仿宋简体"/>
          <w:highlight w:val="none"/>
          <w:shd w:val="clear" w:color="auto" w:fill="auto"/>
          <w:lang w:val="en-US" w:eastAsia="zh-CN"/>
        </w:rPr>
        <w:t>集中</w:t>
      </w:r>
      <w:r>
        <w:rPr>
          <w:rFonts w:hint="eastAsia" w:cs="方正仿宋简体"/>
          <w:highlight w:val="none"/>
          <w:shd w:val="clear" w:color="auto" w:fill="auto"/>
        </w:rPr>
        <w:t>供暖</w:t>
      </w:r>
      <w:r>
        <w:rPr>
          <w:rFonts w:hint="eastAsia" w:cs="方正仿宋简体"/>
          <w:highlight w:val="none"/>
          <w:shd w:val="clear" w:color="auto" w:fill="auto"/>
          <w:lang w:val="en-US" w:eastAsia="zh-CN"/>
        </w:rPr>
        <w:t>以及农村清洁取暖工作</w:t>
      </w:r>
      <w:r>
        <w:rPr>
          <w:rFonts w:hint="eastAsia" w:cs="方正仿宋简体"/>
          <w:highlight w:val="none"/>
          <w:shd w:val="clear" w:color="auto" w:fill="auto"/>
          <w:lang w:eastAsia="zh-CN"/>
        </w:rPr>
        <w:t>，清洁替代成效显著，生态优势不断放大</w:t>
      </w:r>
      <w:r>
        <w:rPr>
          <w:rFonts w:hint="eastAsia" w:cs="方正仿宋简体"/>
          <w:highlight w:val="none"/>
          <w:shd w:val="clear" w:color="auto" w:fill="auto"/>
        </w:rPr>
        <w:t>。</w:t>
      </w:r>
      <w:r>
        <w:rPr>
          <w:rFonts w:hint="eastAsia" w:cs="方正仿宋简体"/>
          <w:b/>
          <w:bCs/>
          <w:highlight w:val="none"/>
          <w:shd w:val="clear" w:color="auto" w:fill="auto"/>
        </w:rPr>
        <w:t>二是</w:t>
      </w:r>
      <w:r>
        <w:rPr>
          <w:rFonts w:hint="eastAsia" w:cs="方正仿宋简体"/>
          <w:highlight w:val="none"/>
          <w:shd w:val="clear" w:color="auto" w:fill="auto"/>
        </w:rPr>
        <w:t>支持生态治理修复。投入各类资金</w:t>
      </w:r>
      <w:r>
        <w:rPr>
          <w:rFonts w:hint="eastAsia"/>
          <w:highlight w:val="none"/>
          <w:shd w:val="clear" w:color="auto" w:fill="auto"/>
          <w:lang w:val="en-US" w:eastAsia="zh-CN"/>
        </w:rPr>
        <w:t>4817</w:t>
      </w:r>
      <w:r>
        <w:rPr>
          <w:rFonts w:hint="eastAsia" w:cs="方正仿宋简体"/>
          <w:highlight w:val="none"/>
          <w:shd w:val="clear" w:color="auto" w:fill="auto"/>
        </w:rPr>
        <w:t>万元，推动</w:t>
      </w:r>
      <w:r>
        <w:rPr>
          <w:rFonts w:hint="eastAsia" w:cs="方正仿宋简体"/>
          <w:highlight w:val="none"/>
          <w:shd w:val="clear" w:color="auto" w:fill="auto"/>
          <w:lang w:val="en-US" w:eastAsia="zh-CN"/>
        </w:rPr>
        <w:t>重点流域水污染防治、海洋及岸线生态修复退养</w:t>
      </w:r>
      <w:r>
        <w:rPr>
          <w:rFonts w:hint="eastAsia" w:cs="方正仿宋简体"/>
          <w:highlight w:val="none"/>
          <w:shd w:val="clear" w:color="auto" w:fill="auto"/>
        </w:rPr>
        <w:t>等项目扎实开展</w:t>
      </w:r>
      <w:r>
        <w:rPr>
          <w:rFonts w:hint="eastAsia" w:cs="方正仿宋简体"/>
          <w:highlight w:val="none"/>
          <w:shd w:val="clear" w:color="auto" w:fill="auto"/>
          <w:lang w:eastAsia="zh-CN"/>
        </w:rPr>
        <w:t>，</w:t>
      </w:r>
      <w:r>
        <w:rPr>
          <w:rFonts w:hint="eastAsia" w:cs="方正仿宋简体"/>
          <w:highlight w:val="none"/>
          <w:shd w:val="clear" w:color="auto" w:fill="auto"/>
        </w:rPr>
        <w:t>坚持打击破坏生态行为和修复生态环境并重。</w:t>
      </w:r>
      <w:r>
        <w:rPr>
          <w:rFonts w:hint="eastAsia" w:cs="方正仿宋简体"/>
          <w:b/>
          <w:bCs/>
          <w:highlight w:val="none"/>
          <w:shd w:val="clear" w:color="auto" w:fill="auto"/>
        </w:rPr>
        <w:t>三是</w:t>
      </w:r>
      <w:r>
        <w:rPr>
          <w:rFonts w:hint="eastAsia" w:cs="方正仿宋简体"/>
          <w:highlight w:val="none"/>
          <w:shd w:val="clear" w:color="auto" w:fill="auto"/>
        </w:rPr>
        <w:t>支持造林绿化工程。统筹资金</w:t>
      </w:r>
      <w:r>
        <w:rPr>
          <w:rFonts w:hint="eastAsia"/>
          <w:highlight w:val="none"/>
          <w:shd w:val="clear" w:color="auto" w:fill="auto"/>
          <w:lang w:val="en-US" w:eastAsia="zh-CN"/>
        </w:rPr>
        <w:t>14235</w:t>
      </w:r>
      <w:r>
        <w:rPr>
          <w:rFonts w:hint="eastAsia" w:cs="方正仿宋简体"/>
          <w:highlight w:val="none"/>
          <w:shd w:val="clear" w:color="auto" w:fill="auto"/>
        </w:rPr>
        <w:t>万元，用于造林绿化项目建设及土地流转支出，践行绿水青山就是金山银山理念</w:t>
      </w:r>
      <w:r>
        <w:rPr>
          <w:rFonts w:hint="eastAsia" w:cs="方正仿宋简体"/>
          <w:highlight w:val="none"/>
          <w:shd w:val="clear" w:color="auto" w:fill="auto"/>
          <w:lang w:eastAsia="zh-CN"/>
        </w:rPr>
        <w:t>，</w:t>
      </w:r>
      <w:r>
        <w:rPr>
          <w:rFonts w:hint="eastAsia" w:cs="方正仿宋简体"/>
          <w:highlight w:val="none"/>
          <w:shd w:val="clear" w:color="auto" w:fill="auto"/>
        </w:rPr>
        <w:t>支持打好污染防治攻坚战，生态环境明显改善。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highlight w:val="none"/>
          <w:shd w:val="clear" w:color="auto"/>
        </w:rPr>
      </w:pPr>
      <w:r>
        <w:rPr>
          <w:rFonts w:hint="eastAsia" w:ascii="Times New Roman" w:hAnsi="Times New Roman" w:cs="Times New Roman"/>
          <w:b/>
          <w:bCs/>
          <w:highlight w:val="none"/>
          <w:lang w:val="en-US" w:eastAsia="zh-CN"/>
        </w:rPr>
        <w:t>3.全力筹措资金，促进经济保持稳定发展。</w:t>
      </w:r>
      <w:r>
        <w:rPr>
          <w:rFonts w:hint="eastAsia" w:cs="方正仿宋简体"/>
          <w:b/>
          <w:bCs/>
          <w:highlight w:val="none"/>
          <w:shd w:val="clear" w:color="auto" w:fill="auto"/>
        </w:rPr>
        <w:t>一是</w:t>
      </w:r>
      <w:r>
        <w:rPr>
          <w:rFonts w:hint="eastAsia" w:cs="方正仿宋简体"/>
          <w:highlight w:val="none"/>
          <w:shd w:val="clear" w:color="auto" w:fill="auto"/>
        </w:rPr>
        <w:t>紧盯国家政策导向，着力加大</w:t>
      </w:r>
      <w:r>
        <w:rPr>
          <w:rFonts w:hint="eastAsia" w:cs="方正仿宋简体"/>
          <w:highlight w:val="none"/>
          <w:shd w:val="clear" w:color="auto" w:fill="auto"/>
          <w:lang w:val="en-US" w:eastAsia="zh-CN"/>
        </w:rPr>
        <w:t>对</w:t>
      </w:r>
      <w:r>
        <w:rPr>
          <w:rFonts w:hint="eastAsia" w:cs="方正仿宋简体"/>
          <w:highlight w:val="none"/>
          <w:shd w:val="clear" w:color="auto" w:fill="auto"/>
        </w:rPr>
        <w:t>上衔接力度，争取</w:t>
      </w:r>
      <w:r>
        <w:rPr>
          <w:rFonts w:hint="eastAsia" w:cs="方正仿宋简体"/>
          <w:highlight w:val="none"/>
          <w:shd w:val="clear" w:color="auto" w:fill="auto"/>
          <w:lang w:val="en-US" w:eastAsia="zh-CN"/>
        </w:rPr>
        <w:t>各类</w:t>
      </w:r>
      <w:r>
        <w:rPr>
          <w:rFonts w:hint="eastAsia" w:cs="方正仿宋简体"/>
          <w:highlight w:val="none"/>
          <w:shd w:val="clear" w:color="auto" w:fill="auto"/>
        </w:rPr>
        <w:t>债券</w:t>
      </w:r>
      <w:r>
        <w:rPr>
          <w:rFonts w:hint="eastAsia" w:cs="方正仿宋简体"/>
          <w:highlight w:val="none"/>
          <w:shd w:val="clear" w:color="auto" w:fill="auto"/>
          <w:lang w:val="en-US" w:eastAsia="zh-CN"/>
        </w:rPr>
        <w:t>资金96200</w:t>
      </w:r>
      <w:r>
        <w:rPr>
          <w:rFonts w:hint="eastAsia" w:cs="方正仿宋简体"/>
          <w:highlight w:val="none"/>
          <w:shd w:val="clear" w:color="auto" w:fill="auto"/>
        </w:rPr>
        <w:t>万元</w:t>
      </w:r>
      <w:r>
        <w:rPr>
          <w:rFonts w:hint="eastAsia" w:cs="方正仿宋简体"/>
          <w:highlight w:val="none"/>
          <w:shd w:val="clear" w:color="auto" w:fill="auto"/>
          <w:lang w:eastAsia="zh-CN"/>
        </w:rPr>
        <w:t>、</w:t>
      </w:r>
      <w:r>
        <w:rPr>
          <w:rFonts w:hint="eastAsia" w:cs="方正仿宋简体"/>
          <w:highlight w:val="none"/>
          <w:shd w:val="clear" w:color="auto" w:fill="auto"/>
          <w:lang w:val="en-US" w:eastAsia="zh-CN"/>
        </w:rPr>
        <w:t>上级转移支付资金18451万元，</w:t>
      </w:r>
      <w:r>
        <w:rPr>
          <w:rFonts w:hint="eastAsia" w:cs="方正仿宋简体"/>
          <w:highlight w:val="none"/>
          <w:shd w:val="clear" w:color="auto" w:fill="auto"/>
        </w:rPr>
        <w:t>支持重大项目和民生项目建设</w:t>
      </w:r>
      <w:r>
        <w:rPr>
          <w:rFonts w:hint="eastAsia" w:cs="方正仿宋简体"/>
          <w:highlight w:val="none"/>
          <w:shd w:val="clear" w:color="auto" w:fill="auto"/>
          <w:lang w:val="en-US" w:eastAsia="zh-CN"/>
        </w:rPr>
        <w:t>。</w:t>
      </w:r>
      <w:r>
        <w:rPr>
          <w:rFonts w:hint="eastAsia" w:cs="方正仿宋简体"/>
          <w:b/>
          <w:bCs/>
          <w:highlight w:val="none"/>
          <w:shd w:val="clear" w:color="auto" w:fill="auto"/>
        </w:rPr>
        <w:t>二是</w:t>
      </w:r>
      <w:r>
        <w:rPr>
          <w:rFonts w:hint="eastAsia" w:cs="方正仿宋简体"/>
          <w:highlight w:val="none"/>
          <w:shd w:val="clear" w:color="auto" w:fill="auto"/>
        </w:rPr>
        <w:t>安排土地储备资金</w:t>
      </w:r>
      <w:r>
        <w:rPr>
          <w:rFonts w:hint="eastAsia"/>
          <w:highlight w:val="none"/>
          <w:shd w:val="clear" w:color="auto" w:fill="auto"/>
          <w:lang w:val="en-US" w:eastAsia="zh-CN"/>
        </w:rPr>
        <w:t>40172</w:t>
      </w:r>
      <w:r>
        <w:rPr>
          <w:rFonts w:hint="eastAsia" w:cs="方正仿宋简体"/>
          <w:highlight w:val="none"/>
          <w:shd w:val="clear" w:color="auto" w:fill="auto"/>
        </w:rPr>
        <w:t>万元，保障重点项目建设土地需求。</w:t>
      </w:r>
      <w:r>
        <w:rPr>
          <w:rFonts w:hint="eastAsia" w:cs="方正仿宋简体"/>
          <w:b/>
          <w:bCs/>
          <w:highlight w:val="none"/>
          <w:shd w:val="clear" w:color="auto"/>
          <w:lang w:val="en-US" w:eastAsia="zh-CN"/>
        </w:rPr>
        <w:t>三</w:t>
      </w:r>
      <w:r>
        <w:rPr>
          <w:rFonts w:hint="eastAsia" w:cs="方正仿宋简体"/>
          <w:b/>
          <w:bCs/>
          <w:highlight w:val="none"/>
          <w:shd w:val="clear"/>
        </w:rPr>
        <w:t>是</w:t>
      </w:r>
      <w:r>
        <w:rPr>
          <w:rFonts w:hint="eastAsia" w:cs="方正仿宋简体"/>
          <w:highlight w:val="none"/>
          <w:shd w:val="clear"/>
        </w:rPr>
        <w:t>安排各类棚改资金</w:t>
      </w:r>
      <w:r>
        <w:rPr>
          <w:highlight w:val="none"/>
          <w:shd w:val="clear"/>
        </w:rPr>
        <w:t>3681</w:t>
      </w:r>
      <w:r>
        <w:rPr>
          <w:rFonts w:hint="eastAsia" w:cs="方正仿宋简体"/>
          <w:highlight w:val="none"/>
          <w:shd w:val="clear"/>
        </w:rPr>
        <w:t>万元，全力支持小蒲河村和南戴河村棚改等项目建设。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cs="方正仿宋简体"/>
          <w:highlight w:val="none"/>
        </w:rPr>
      </w:pPr>
      <w:r>
        <w:rPr>
          <w:rFonts w:hint="eastAsia" w:ascii="Times New Roman" w:hAnsi="Times New Roman" w:cs="Times New Roman"/>
          <w:b/>
          <w:bCs/>
          <w:highlight w:val="none"/>
          <w:lang w:val="en-US" w:eastAsia="zh-CN"/>
        </w:rPr>
        <w:t>4.坚决守住底线，切实防范化解财政风险。</w:t>
      </w:r>
      <w:r>
        <w:rPr>
          <w:rFonts w:hint="eastAsia" w:cs="方正仿宋简体"/>
          <w:b/>
          <w:bCs/>
          <w:highlight w:val="none"/>
        </w:rPr>
        <w:t>一是</w:t>
      </w:r>
      <w:r>
        <w:rPr>
          <w:rFonts w:hint="eastAsia" w:cs="方正仿宋简体"/>
          <w:highlight w:val="none"/>
        </w:rPr>
        <w:t>防控债务风险。健全完善债务风险动态监控机制，足额安排政府债务还本付息预算，</w:t>
      </w:r>
      <w:r>
        <w:rPr>
          <w:rFonts w:hint="eastAsia"/>
          <w:szCs w:val="32"/>
          <w:highlight w:val="none"/>
        </w:rPr>
        <w:t>坚持预防为主、预防和应急处置相结合，及时排查风险隐患，按时</w:t>
      </w:r>
      <w:r>
        <w:rPr>
          <w:rFonts w:hint="eastAsia" w:cs="方正仿宋简体"/>
          <w:highlight w:val="none"/>
        </w:rPr>
        <w:t>足额偿还各类债务本息</w:t>
      </w:r>
      <w:r>
        <w:rPr>
          <w:highlight w:val="none"/>
        </w:rPr>
        <w:t>47244</w:t>
      </w:r>
      <w:r>
        <w:rPr>
          <w:rFonts w:hint="eastAsia" w:cs="方正仿宋简体"/>
          <w:highlight w:val="none"/>
        </w:rPr>
        <w:t>万元，有效维护政府信誉。</w:t>
      </w:r>
      <w:r>
        <w:rPr>
          <w:rFonts w:hint="eastAsia" w:cs="方正仿宋简体"/>
          <w:b/>
          <w:bCs/>
          <w:highlight w:val="none"/>
        </w:rPr>
        <w:t>二是</w:t>
      </w:r>
      <w:r>
        <w:rPr>
          <w:rFonts w:hint="eastAsia" w:cs="方正仿宋简体"/>
          <w:highlight w:val="none"/>
        </w:rPr>
        <w:t>防控运行风险。选取重点行业开展会计监督检查，及时发现纠正存在问题；坚持统筹兼顾，为保运转、惠民生、促发展提供可靠的财力保障，扎实做好区级“三保”工作和运行风险监控，确保财政平稳运行。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cs="方正仿宋简体"/>
          <w:shd w:val="clear" w:color="auto" w:fill="auto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highlight w:val="none"/>
          <w:lang w:val="en-US" w:eastAsia="zh-CN"/>
        </w:rPr>
        <w:t>5.深化预算管理改革，全面推进预算绩效管理。</w:t>
      </w:r>
      <w:r>
        <w:rPr>
          <w:rFonts w:hint="eastAsia" w:cs="方正仿宋简体"/>
          <w:highlight w:val="none"/>
          <w:shd w:val="clear" w:color="auto" w:fill="auto"/>
        </w:rPr>
        <w:t>围绕预算绩效管理的政策要求狠抓落实，拓展预算绩效管理覆盖的广度，提升预算绩效管理覆盖的深度</w:t>
      </w:r>
      <w:r>
        <w:rPr>
          <w:rFonts w:hint="eastAsia" w:cs="方正仿宋简体"/>
          <w:highlight w:val="none"/>
          <w:shd w:val="clear" w:color="auto" w:fill="auto"/>
          <w:lang w:eastAsia="zh-CN"/>
        </w:rPr>
        <w:t>。</w:t>
      </w:r>
      <w:r>
        <w:rPr>
          <w:rFonts w:hint="eastAsia" w:ascii="Times New Roman" w:hAnsi="Times New Roman" w:eastAsia="方正仿宋简体" w:cs="方正仿宋简体"/>
          <w:sz w:val="32"/>
          <w:szCs w:val="40"/>
          <w:highlight w:val="none"/>
          <w:shd w:val="clear" w:color="auto" w:fill="auto"/>
          <w:lang w:val="en-US" w:eastAsia="zh-CN"/>
        </w:rPr>
        <w:t>在部门自评和部门重点评价的基础上，选取了</w:t>
      </w:r>
      <w:r>
        <w:rPr>
          <w:rFonts w:hint="eastAsia" w:ascii="Times New Roman" w:hAnsi="Times New Roman" w:eastAsia="方正仿宋简体" w:cs="方正仿宋简体"/>
          <w:sz w:val="32"/>
          <w:szCs w:val="40"/>
          <w:highlight w:val="none"/>
          <w:shd w:val="clear" w:color="auto" w:fill="auto"/>
        </w:rPr>
        <w:t>农业农村、土地储备、义务教育、公共卫生等领域</w:t>
      </w:r>
      <w:r>
        <w:rPr>
          <w:rFonts w:hint="eastAsia" w:ascii="Times New Roman" w:hAnsi="Times New Roman" w:eastAsia="方正仿宋简体" w:cs="方正仿宋简体"/>
          <w:sz w:val="32"/>
          <w:szCs w:val="40"/>
          <w:highlight w:val="none"/>
          <w:shd w:val="clear" w:color="auto" w:fill="auto"/>
          <w:lang w:val="en-US" w:eastAsia="zh-CN"/>
        </w:rPr>
        <w:t>的</w:t>
      </w:r>
      <w:r>
        <w:rPr>
          <w:rFonts w:hint="default" w:ascii="Times New Roman" w:hAnsi="Times New Roman" w:eastAsia="方正仿宋简体" w:cs="方正仿宋简体"/>
          <w:sz w:val="32"/>
          <w:szCs w:val="40"/>
          <w:highlight w:val="none"/>
          <w:shd w:val="clear" w:color="auto" w:fill="auto"/>
          <w:lang w:val="en-US"/>
        </w:rPr>
        <w:t>18</w:t>
      </w:r>
      <w:r>
        <w:rPr>
          <w:rFonts w:hint="eastAsia" w:ascii="Times New Roman" w:hAnsi="Times New Roman" w:eastAsia="方正仿宋简体" w:cs="方正仿宋简体"/>
          <w:sz w:val="32"/>
          <w:szCs w:val="40"/>
          <w:highlight w:val="none"/>
          <w:shd w:val="clear" w:color="auto" w:fill="auto"/>
          <w:lang w:val="en-US" w:eastAsia="zh-CN"/>
        </w:rPr>
        <w:t>类重点资金共计</w:t>
      </w:r>
      <w:r>
        <w:rPr>
          <w:rFonts w:hint="default" w:ascii="Times New Roman" w:hAnsi="Times New Roman" w:eastAsia="方正仿宋简体" w:cs="方正仿宋简体"/>
          <w:sz w:val="32"/>
          <w:szCs w:val="40"/>
          <w:highlight w:val="none"/>
          <w:shd w:val="clear" w:color="auto" w:fill="auto"/>
          <w:lang w:val="en-US" w:eastAsia="zh-CN"/>
        </w:rPr>
        <w:t>9.53</w:t>
      </w:r>
      <w:r>
        <w:rPr>
          <w:rFonts w:hint="eastAsia" w:ascii="Times New Roman" w:hAnsi="Times New Roman" w:eastAsia="方正仿宋简体" w:cs="方正仿宋简体"/>
          <w:sz w:val="32"/>
          <w:szCs w:val="40"/>
          <w:highlight w:val="none"/>
          <w:shd w:val="clear" w:color="auto" w:fill="auto"/>
          <w:lang w:val="en-US" w:eastAsia="zh-CN"/>
        </w:rPr>
        <w:t>亿元</w:t>
      </w:r>
      <w:r>
        <w:rPr>
          <w:rFonts w:hint="eastAsia" w:ascii="Times New Roman" w:hAnsi="Times New Roman" w:eastAsia="方正仿宋简体" w:cs="方正仿宋简体"/>
          <w:sz w:val="32"/>
          <w:szCs w:val="40"/>
          <w:highlight w:val="none"/>
          <w:shd w:val="clear" w:color="auto" w:fill="auto"/>
          <w:lang w:eastAsia="zh-CN"/>
        </w:rPr>
        <w:t>，</w:t>
      </w:r>
      <w:r>
        <w:rPr>
          <w:rFonts w:hint="eastAsia" w:ascii="Times New Roman" w:hAnsi="Times New Roman" w:eastAsia="方正仿宋简体" w:cs="方正仿宋简体"/>
          <w:sz w:val="32"/>
          <w:szCs w:val="40"/>
          <w:highlight w:val="none"/>
          <w:shd w:val="clear" w:color="auto" w:fill="auto"/>
          <w:lang w:val="en-US" w:eastAsia="zh-CN"/>
        </w:rPr>
        <w:t>进行了</w:t>
      </w:r>
      <w:r>
        <w:rPr>
          <w:rFonts w:hint="eastAsia" w:ascii="Times New Roman" w:hAnsi="Times New Roman" w:eastAsia="方正仿宋简体" w:cs="方正仿宋简体"/>
          <w:sz w:val="32"/>
          <w:szCs w:val="40"/>
          <w:highlight w:val="none"/>
          <w:shd w:val="clear" w:color="auto" w:fill="auto"/>
        </w:rPr>
        <w:t>财政重点绩效评价。</w:t>
      </w:r>
      <w:r>
        <w:rPr>
          <w:rFonts w:hint="eastAsia"/>
          <w:highlight w:val="none"/>
          <w:shd w:val="clear" w:color="auto" w:fill="auto"/>
          <w:lang w:eastAsia="zh-CN"/>
        </w:rPr>
        <w:t>树立“花钱必问效，无效必问责”的鲜明导向，硬化预算挂钩机制，根据评价结果和政策项目实施周期，在预算安排中相应采取增减预算、统筹整合、调整结构、取消项目等措施，做到真挂钩、真兑现，让每一分钱花出效益，确保资金使用达到预期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cs="Times New Roman"/>
          <w:b/>
          <w:bCs/>
          <w:highlight w:val="none"/>
          <w:lang w:val="en-US" w:eastAsia="zh-CN"/>
        </w:rPr>
        <w:t>6.</w:t>
      </w:r>
      <w:r>
        <w:rPr>
          <w:rFonts w:hint="eastAsia" w:ascii="Times New Roman" w:hAnsi="Times New Roman" w:cs="Times New Roman"/>
          <w:b/>
          <w:bCs/>
          <w:highlight w:val="none"/>
          <w:lang w:val="en-US" w:eastAsia="zh-CN"/>
        </w:rPr>
        <w:t>落实改革任务，加快建立现代财政制度。</w:t>
      </w:r>
      <w:r>
        <w:rPr>
          <w:rFonts w:hint="eastAsia" w:cs="方正仿宋简体"/>
          <w:b/>
        </w:rPr>
        <w:t>一是</w:t>
      </w:r>
      <w:r>
        <w:rPr>
          <w:rFonts w:hint="eastAsia" w:cs="方正仿宋简体"/>
        </w:rPr>
        <w:t>全面落实国家税制改革政策，巩固减税降费成效。及时全面贯彻落实国家各项税制改革政策，进一步完善减轻企业负担的体制机制，国家、省各项</w:t>
      </w:r>
      <w:r>
        <w:rPr>
          <w:rFonts w:hint="eastAsia" w:cs="方正仿宋简体"/>
          <w:lang w:val="en-US" w:eastAsia="zh-CN"/>
        </w:rPr>
        <w:t>减税</w:t>
      </w:r>
      <w:r>
        <w:rPr>
          <w:rFonts w:hint="eastAsia" w:cs="方正仿宋简体"/>
        </w:rPr>
        <w:t>降费措施落实到位，</w:t>
      </w:r>
      <w:r>
        <w:rPr>
          <w:rFonts w:hint="eastAsia"/>
        </w:rPr>
        <w:t>2021年累计减免各类税费14962万元</w:t>
      </w:r>
      <w:r>
        <w:rPr>
          <w:rFonts w:hint="eastAsia" w:cs="方正仿宋简体"/>
        </w:rPr>
        <w:t>。</w:t>
      </w:r>
      <w:r>
        <w:rPr>
          <w:rFonts w:hint="eastAsia" w:cs="方正仿宋简体"/>
          <w:b/>
          <w:bCs/>
          <w:lang w:val="en-US" w:eastAsia="zh-CN"/>
        </w:rPr>
        <w:t>二</w:t>
      </w:r>
      <w:r>
        <w:rPr>
          <w:rFonts w:hint="eastAsia" w:cs="方正仿宋简体"/>
          <w:b/>
          <w:bCs/>
        </w:rPr>
        <w:t>是</w:t>
      </w:r>
      <w:r>
        <w:rPr>
          <w:rFonts w:hint="eastAsia"/>
        </w:rPr>
        <w:t>持续深化政府采购制度改革。</w:t>
      </w:r>
      <w:r>
        <w:rPr>
          <w:rFonts w:hint="eastAsia"/>
          <w:lang w:val="en-US" w:eastAsia="zh-CN"/>
        </w:rPr>
        <w:t>按照</w:t>
      </w:r>
      <w:r>
        <w:rPr>
          <w:rFonts w:hint="eastAsia"/>
        </w:rPr>
        <w:t>上级政府采购相关政策文件</w:t>
      </w:r>
      <w:r>
        <w:rPr>
          <w:rFonts w:hint="eastAsia"/>
          <w:lang w:val="en-US" w:eastAsia="zh-CN"/>
        </w:rPr>
        <w:t>要求</w:t>
      </w:r>
      <w:r>
        <w:rPr>
          <w:rFonts w:hint="eastAsia"/>
        </w:rPr>
        <w:t>，督促新区各部门、单位以及各政府采购代理机构做好贯彻落实。</w:t>
      </w:r>
      <w:r>
        <w:rPr>
          <w:rFonts w:hint="eastAsia" w:cs="方正仿宋简体"/>
          <w:b/>
          <w:bCs/>
          <w:lang w:val="en-US" w:eastAsia="zh-CN"/>
        </w:rPr>
        <w:t>三</w:t>
      </w:r>
      <w:r>
        <w:rPr>
          <w:rFonts w:hint="eastAsia" w:cs="方正仿宋简体"/>
          <w:b/>
          <w:bCs/>
        </w:rPr>
        <w:t>是</w:t>
      </w:r>
      <w:r>
        <w:rPr>
          <w:rFonts w:hint="eastAsia" w:cs="方正仿宋简体"/>
          <w:b w:val="0"/>
          <w:bCs w:val="0"/>
          <w:lang w:val="en-US" w:eastAsia="zh-CN"/>
        </w:rPr>
        <w:t>按照</w:t>
      </w:r>
      <w:r>
        <w:rPr>
          <w:rFonts w:hint="eastAsia" w:cs="Times New Roman"/>
          <w:b w:val="0"/>
          <w:bCs w:val="0"/>
          <w:sz w:val="32"/>
          <w:szCs w:val="32"/>
          <w:lang w:val="en-US" w:eastAsia="zh-CN"/>
        </w:rPr>
        <w:t>上</w:t>
      </w:r>
      <w:r>
        <w:rPr>
          <w:rFonts w:hint="eastAsia" w:cs="Times New Roman"/>
          <w:sz w:val="32"/>
          <w:szCs w:val="32"/>
          <w:lang w:val="en-US" w:eastAsia="zh-CN"/>
        </w:rPr>
        <w:t>级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预算管理一体化有关工作</w:t>
      </w:r>
      <w:r>
        <w:rPr>
          <w:rFonts w:hint="eastAsia" w:cs="Times New Roman"/>
          <w:sz w:val="32"/>
          <w:szCs w:val="32"/>
          <w:lang w:val="en-US" w:eastAsia="zh-CN"/>
        </w:rPr>
        <w:t>要求改变预算单位银行账户使用管理方式，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2021年1月末，全区52家预算单位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基本存款账户和零余额账户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全部分设到位</w:t>
      </w:r>
      <w:r>
        <w:rPr>
          <w:rFonts w:hint="eastAsia" w:cs="Times New Roman"/>
          <w:sz w:val="32"/>
          <w:szCs w:val="32"/>
          <w:lang w:eastAsia="zh-CN"/>
        </w:rPr>
        <w:t>。</w:t>
      </w:r>
      <w:r>
        <w:rPr>
          <w:rFonts w:hint="eastAsia" w:cs="Times New Roman"/>
          <w:b/>
          <w:bCs/>
          <w:sz w:val="32"/>
          <w:szCs w:val="32"/>
          <w:lang w:val="en-US" w:eastAsia="zh-CN"/>
        </w:rPr>
        <w:t>四是</w:t>
      </w:r>
      <w:r>
        <w:rPr>
          <w:rFonts w:hint="eastAsia" w:cs="Times New Roman"/>
          <w:sz w:val="32"/>
          <w:szCs w:val="32"/>
          <w:lang w:val="en-US" w:eastAsia="zh-CN"/>
        </w:rPr>
        <w:t>改革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财政实拨资金业务支付方式，积极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争取市人民银行支持，于11月初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实现实拨资金业务电子支付。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cs="方正仿宋简体"/>
        </w:rPr>
      </w:pPr>
      <w:r>
        <w:rPr>
          <w:rFonts w:hint="eastAsia" w:cs="方正仿宋简体"/>
        </w:rPr>
        <w:t>202</w:t>
      </w:r>
      <w:r>
        <w:rPr>
          <w:rFonts w:hint="eastAsia" w:cs="方正仿宋简体"/>
          <w:lang w:val="en-US" w:eastAsia="zh-CN"/>
        </w:rPr>
        <w:t>1</w:t>
      </w:r>
      <w:r>
        <w:rPr>
          <w:rFonts w:hint="eastAsia" w:cs="方正仿宋简体"/>
        </w:rPr>
        <w:t>年面对疫情冲击，全区上下在市委市政府的坚强领导下，</w:t>
      </w:r>
      <w:r>
        <w:rPr>
          <w:rFonts w:hint="eastAsia" w:cs="方正仿宋简体"/>
          <w:lang w:val="en-US" w:eastAsia="zh-CN"/>
        </w:rPr>
        <w:t>在市人大及常委会的有力监督下，</w:t>
      </w:r>
      <w:r>
        <w:rPr>
          <w:rFonts w:hint="eastAsia" w:cs="方正仿宋简体"/>
        </w:rPr>
        <w:t>保持定力，稳扎稳打，众志成城，砥砺奋进，奋力夺取疫情防控和经济社会发展“双胜利”。</w:t>
      </w:r>
      <w:r>
        <w:rPr>
          <w:rFonts w:hint="eastAsia" w:cs="方正仿宋简体"/>
          <w:lang w:val="en-US" w:eastAsia="zh-CN"/>
        </w:rPr>
        <w:t>同时，我们也</w:t>
      </w:r>
      <w:r>
        <w:rPr>
          <w:rFonts w:hint="eastAsia" w:cs="方正仿宋简体"/>
        </w:rPr>
        <w:t>看到预算执行和财政工作中还面临一些问题和挑战。主要是：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新区正处于产业形成和聚集期，缺乏稳定税源，收入</w:t>
      </w:r>
      <w:r>
        <w:rPr>
          <w:rFonts w:hint="eastAsia" w:cs="Times New Roman"/>
          <w:sz w:val="32"/>
          <w:szCs w:val="32"/>
          <w:lang w:val="en-US" w:eastAsia="zh-CN"/>
        </w:rPr>
        <w:t>质量有待提高</w:t>
      </w:r>
      <w:r>
        <w:rPr>
          <w:rFonts w:hint="eastAsia" w:cs="Times New Roman"/>
          <w:sz w:val="32"/>
          <w:szCs w:val="32"/>
          <w:lang w:eastAsia="zh-CN"/>
        </w:rPr>
        <w:t>；</w:t>
      </w:r>
      <w:r>
        <w:rPr>
          <w:rFonts w:hint="eastAsia" w:cs="Times New Roman"/>
          <w:sz w:val="32"/>
          <w:szCs w:val="32"/>
          <w:lang w:val="en-US" w:eastAsia="zh-CN"/>
        </w:rPr>
        <w:t>政府性基金收入受疫情影响较大，</w:t>
      </w:r>
      <w:r>
        <w:rPr>
          <w:rFonts w:hint="eastAsia" w:cs="方正仿宋简体"/>
        </w:rPr>
        <w:t>加剧了财政收支矛盾；</w:t>
      </w:r>
      <w:r>
        <w:rPr>
          <w:rFonts w:hint="eastAsia" w:cs="方正仿宋简体"/>
          <w:lang w:val="en-US" w:eastAsia="zh-CN"/>
        </w:rPr>
        <w:t>部分</w:t>
      </w:r>
      <w:r>
        <w:rPr>
          <w:rFonts w:hint="eastAsia" w:cs="方正仿宋简体"/>
        </w:rPr>
        <w:t>项目支出进度</w:t>
      </w:r>
      <w:r>
        <w:rPr>
          <w:rFonts w:hint="eastAsia" w:cs="方正仿宋简体"/>
          <w:highlight w:val="none"/>
          <w:lang w:val="en-US" w:eastAsia="zh-CN"/>
        </w:rPr>
        <w:t>不够理想</w:t>
      </w:r>
      <w:r>
        <w:rPr>
          <w:rFonts w:hint="eastAsia" w:cs="方正仿宋简体"/>
        </w:rPr>
        <w:t>，影响了资金使用效益</w:t>
      </w:r>
      <w:r>
        <w:rPr>
          <w:rFonts w:hint="eastAsia" w:cs="方正仿宋简体"/>
          <w:lang w:eastAsia="zh-CN"/>
        </w:rPr>
        <w:t>。</w:t>
      </w:r>
      <w:r>
        <w:rPr>
          <w:rFonts w:hint="eastAsia" w:cs="方正仿宋简体"/>
        </w:rPr>
        <w:t>我们</w:t>
      </w:r>
      <w:r>
        <w:rPr>
          <w:rFonts w:hint="eastAsia" w:cs="方正仿宋简体"/>
          <w:lang w:val="en-US" w:eastAsia="zh-CN"/>
        </w:rPr>
        <w:t>将</w:t>
      </w:r>
      <w:r>
        <w:rPr>
          <w:rFonts w:hint="eastAsia" w:cs="方正仿宋简体"/>
        </w:rPr>
        <w:t>高度重视这些问题，积极采取措施加以解决。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二、2022年预算安排情况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lang w:val="en-US" w:eastAsia="zh-CN"/>
        </w:rPr>
        <w:t>（一）2022年预算安排的指导思想和总体思路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中央、省、市部署要求和当前财经运行形势，2022年预算编制的指导思想是：坚持以习近平新时代中国特色社会主义思想为指导，全面贯彻落实党的十九大和十九届历次全会精神，坚持稳中求进工作总基调，立足新发展阶段，贯彻新发展理念，构建新发展格局，以推动高质量发展为主题，以改革创新为根本动力，以满足人民日益增长的美好生活需要为根本目的，坚持系统观念，更好统筹发展和安全，全面落实“六稳”“六保”要求。加强财政资源统筹，保证财政支出强度，加快支出进度，优化重点支出结构，全力保障重大决策部署落实；全面落实政府过紧日子要求，严肃财经纪律，强化预算约束和绩效管理，提高财政支出的精准性有效性；加强政府债务管理，防范化解财政风险，确保财政经济行稳致远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围绕上述指导思想，预算安排的总体思路为：</w:t>
      </w:r>
      <w:r>
        <w:rPr>
          <w:rFonts w:hint="eastAsia"/>
          <w:b/>
          <w:bCs/>
          <w:lang w:val="en-US" w:eastAsia="zh-CN"/>
        </w:rPr>
        <w:t>一是</w:t>
      </w:r>
      <w:r>
        <w:rPr>
          <w:rFonts w:hint="eastAsia"/>
          <w:lang w:val="en-US" w:eastAsia="zh-CN"/>
        </w:rPr>
        <w:t>突出重点。把保障党中央、省、市决策部署和工管委工作安排落地落实摆在首位，全力支持重大战略、重大政策、重大改革的有效实施。</w:t>
      </w:r>
      <w:r>
        <w:rPr>
          <w:rFonts w:hint="eastAsia"/>
          <w:b/>
          <w:bCs/>
          <w:lang w:val="en-US" w:eastAsia="zh-CN"/>
        </w:rPr>
        <w:t>二是</w:t>
      </w:r>
      <w:r>
        <w:rPr>
          <w:rFonts w:hint="eastAsia"/>
          <w:lang w:val="en-US" w:eastAsia="zh-CN"/>
        </w:rPr>
        <w:t>统筹兼顾。加大政府预算统筹力度，将本级收入、上级补助、调入资金、政府债务收入，以及清理盘活的存量资金等全部纳入政府预算范围。加强财政资源统筹，将政府预算资金与产业引导基金、企业融资等相统筹，改进投入方式，全面提升财政资源配置效率。一般公共预算侧重保基本，兜牢“三保”底线，保重大决策部署落实；建设资金通过土地出让金、争取上级专项资金、专项债券以及市场化运作等方式解决。</w:t>
      </w:r>
      <w:r>
        <w:rPr>
          <w:rFonts w:hint="eastAsia"/>
          <w:b/>
          <w:bCs/>
          <w:lang w:val="en-US" w:eastAsia="zh-CN"/>
        </w:rPr>
        <w:t>三是</w:t>
      </w:r>
      <w:r>
        <w:rPr>
          <w:rFonts w:hint="eastAsia"/>
          <w:lang w:val="en-US" w:eastAsia="zh-CN"/>
        </w:rPr>
        <w:t>优化结构。</w:t>
      </w:r>
      <w:r>
        <w:rPr>
          <w:rFonts w:hint="default"/>
          <w:lang w:val="en-US" w:eastAsia="zh-CN"/>
        </w:rPr>
        <w:t>强化零基预算理念，合理确定保障重点和保障顺序，对最急需最紧迫的大事优先安排，对必保的刚性支出足额安排，对到期政策、非急需项目予以清理，并将资金安排和使用绩效挂钩，提升财政资源配置效率。</w:t>
      </w:r>
      <w:r>
        <w:rPr>
          <w:rFonts w:hint="eastAsia"/>
          <w:b/>
          <w:bCs/>
          <w:lang w:val="en-US" w:eastAsia="zh-CN"/>
        </w:rPr>
        <w:t>四是</w:t>
      </w:r>
      <w:r>
        <w:rPr>
          <w:rFonts w:hint="eastAsia"/>
          <w:lang w:val="en-US" w:eastAsia="zh-CN"/>
        </w:rPr>
        <w:t>厉行节约。不折不扣落实过紧日子要求，厉行节约办一切事业，建立节约型财政保障机制，大力压减一般性支出</w:t>
      </w:r>
      <w:r>
        <w:rPr>
          <w:rFonts w:hint="eastAsia" w:cstheme="minorBidi"/>
          <w:kern w:val="2"/>
          <w:sz w:val="32"/>
          <w:szCs w:val="24"/>
          <w:lang w:val="en-US" w:eastAsia="zh-CN" w:bidi="ar-SA"/>
        </w:rPr>
        <w:t>。</w:t>
      </w:r>
      <w:r>
        <w:rPr>
          <w:rFonts w:hint="eastAsia"/>
          <w:lang w:val="en-US" w:eastAsia="zh-CN"/>
        </w:rPr>
        <w:t>严格政府投资项目管理，建设项目实施坚持尽力而为、量力而行，申请预算的项目须经管委决策同意实施，并已完成可研及初设概算批复，能够提供工程预算书、施工图纸等相关资料，确保预算一经批复，项目即可实施。对无概算或未经管委审核通过的项目一律不安排预算资金。</w:t>
      </w:r>
      <w:r>
        <w:rPr>
          <w:rFonts w:hint="eastAsia"/>
          <w:b/>
          <w:bCs/>
          <w:lang w:val="en-US" w:eastAsia="zh-CN"/>
        </w:rPr>
        <w:t>五是</w:t>
      </w:r>
      <w:r>
        <w:rPr>
          <w:rFonts w:hint="eastAsia"/>
          <w:lang w:val="en-US" w:eastAsia="zh-CN"/>
        </w:rPr>
        <w:t>讲求绩效。进一步树牢绩效意识，持续优化全方位、全过程、全覆盖的预算绩效管理体系，推动绩效管理提质增效。将落实重大决策部署作为预算绩效管理重点，加强财政政策评估评价，增强政策可行性和财政可持续性。积极开展事前绩效评估，科学设定绩效目标，强化绩效运行监控，加快推进整体绩效评价，加强重点绩效评价，加大评价结果应用力度，提高资金使用效益。</w:t>
      </w:r>
      <w:r>
        <w:rPr>
          <w:rFonts w:hint="eastAsia"/>
          <w:b/>
          <w:bCs/>
          <w:lang w:val="en-US" w:eastAsia="zh-CN"/>
        </w:rPr>
        <w:t>六是</w:t>
      </w:r>
      <w:r>
        <w:rPr>
          <w:rFonts w:hint="eastAsia"/>
          <w:lang w:val="en-US" w:eastAsia="zh-CN"/>
        </w:rPr>
        <w:t>防范风险。统筹财力和支出需求，保障财政平稳运行。涉及增加财政支出的重大政策出台前、重大政府投资项目实施前，按规定进行财政承受能力评估，未通过评估的不安排预算。综合考虑民生政策、事业发展的长远目标，合理确定保障范围和政策力度，确保支出政策可持续。足额安排政府债务还本付息资金，积极防范和化解债务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楷体简体" w:hAnsi="方正楷体简体" w:eastAsia="方正楷体简体" w:cs="方正楷体简体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lang w:val="en-US" w:eastAsia="zh-CN"/>
        </w:rPr>
        <w:t>（二）2022年区级预算草案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/>
          <w:b/>
          <w:bCs w:val="0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/>
          <w:bCs w:val="0"/>
          <w:lang w:val="en-US" w:eastAsia="zh-CN"/>
        </w:rPr>
        <w:t>1.一般公共预算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般公共预算收入总计216003万元，包括：①本级收入预算安排134400万元；②上级税收返还收入8542万元；③一般性转移支付收入-3568万元，主要是划转抚宁区财力基数-4497万元；④提前通知的转移支付资金8729万元；⑤债务转贷收入14900万元，为争取再融资一般债券收入；⑥调入资金42000万元；⑦动用预算稳定调节基金11000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cs="方正仿宋简体"/>
          <w:lang w:val="en-US" w:eastAsia="zh-CN"/>
        </w:rPr>
      </w:pPr>
      <w:r>
        <w:rPr>
          <w:rFonts w:hint="eastAsia"/>
          <w:lang w:val="en-US" w:eastAsia="zh-CN"/>
        </w:rPr>
        <w:t>一般公共预算支出总计216003万元，包括：①一般公共预算支出146836万元，其中：区级财力安排支出138107万元；②上解上级支出30297万元，主要是市级税收增量分成28068万元；③债务还本支出38870万元（其中：一般债还本支出23970万元，再融资债还本支出14900万元）</w:t>
      </w:r>
      <w:r>
        <w:rPr>
          <w:rFonts w:hint="eastAsia" w:ascii="Times New Roman" w:hAnsi="Times New Roman" w:cs="方正仿宋简体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方正仿宋简体" w:cs="方正仿宋简体"/>
          <w:b/>
          <w:bCs w:val="0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/>
          <w:bCs w:val="0"/>
          <w:lang w:val="en-US" w:eastAsia="zh-CN"/>
        </w:rPr>
        <w:t>2.政府性基金预算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方正仿宋简体" w:hAnsi="方正仿宋简体" w:cs="方正仿宋简体"/>
          <w:lang w:val="en-US" w:eastAsia="zh-CN"/>
        </w:rPr>
        <w:t>本级</w:t>
      </w:r>
      <w:r>
        <w:rPr>
          <w:rFonts w:hint="eastAsia"/>
          <w:lang w:val="en-US" w:eastAsia="zh-CN"/>
        </w:rPr>
        <w:t>收入预算安排157000万元，</w:t>
      </w:r>
      <w:r>
        <w:rPr>
          <w:rFonts w:hint="eastAsia" w:ascii="方正仿宋简体" w:hAnsi="方正仿宋简体" w:cs="方正仿宋简体"/>
          <w:lang w:val="en-US" w:eastAsia="zh-CN"/>
        </w:rPr>
        <w:t>其中：</w:t>
      </w:r>
      <w:r>
        <w:rPr>
          <w:rFonts w:hint="eastAsia"/>
          <w:lang w:val="en-US" w:eastAsia="zh-CN"/>
        </w:rPr>
        <w:t>国有土地使用权出让收入147000万元，城市基础设施配套费收入10000万元。加上</w:t>
      </w:r>
      <w:r>
        <w:rPr>
          <w:rFonts w:hint="eastAsia" w:ascii="方正仿宋简体" w:hAnsi="方正仿宋简体" w:cs="方正仿宋简体"/>
          <w:lang w:val="en-US" w:eastAsia="zh-CN"/>
        </w:rPr>
        <w:t>提前通知的转移支付资金</w:t>
      </w:r>
      <w:r>
        <w:rPr>
          <w:rFonts w:hint="eastAsia"/>
          <w:lang w:val="en-US" w:eastAsia="zh-CN"/>
        </w:rPr>
        <w:t>181</w:t>
      </w:r>
      <w:r>
        <w:rPr>
          <w:rFonts w:hint="eastAsia" w:ascii="方正仿宋简体" w:hAnsi="方正仿宋简体" w:cs="方正仿宋简体"/>
          <w:lang w:val="en-US" w:eastAsia="zh-CN"/>
        </w:rPr>
        <w:t>万元，收入总计</w:t>
      </w:r>
      <w:r>
        <w:rPr>
          <w:rFonts w:hint="eastAsia"/>
          <w:lang w:val="en-US" w:eastAsia="zh-CN"/>
        </w:rPr>
        <w:t>157181</w:t>
      </w:r>
      <w:r>
        <w:rPr>
          <w:rFonts w:hint="eastAsia" w:ascii="方正仿宋简体" w:hAnsi="方正仿宋简体" w:cs="方正仿宋简体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根据收支平衡原则，支出预算安排112181万元，加上调出资金42000万元、债务还本支出3000万元，支出总计157181万元。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方正仿宋简体" w:cs="方正仿宋简体"/>
          <w:b/>
          <w:bCs w:val="0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/>
          <w:bCs w:val="0"/>
          <w:lang w:val="en-US" w:eastAsia="zh-CN"/>
        </w:rPr>
        <w:t>3.社会保险基金预算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lang w:val="en-US" w:eastAsia="zh-CN"/>
        </w:rPr>
      </w:pP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按照社会保险基金统筹级次，城乡居民养老保险基金和机关事业单位养老保险基金为区级管理</w:t>
      </w:r>
      <w:r>
        <w:rPr>
          <w:rFonts w:hint="eastAsia"/>
          <w:sz w:val="32"/>
          <w:szCs w:val="32"/>
          <w:highlight w:val="none"/>
          <w:lang w:val="en-US" w:eastAsia="zh-CN"/>
        </w:rPr>
        <w:t>。本年</w:t>
      </w:r>
      <w:r>
        <w:rPr>
          <w:rFonts w:hint="eastAsia"/>
          <w:lang w:val="en-US" w:eastAsia="zh-CN"/>
        </w:rPr>
        <w:t>收入预算安排7653 万元，包括：参保人员缴纳保险费收入4631  万元，上级财政补贴收入  2725万元，保险金存款利息等其他收入297万元。本年支出安排7613万元。年末新增结余40万元。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需要说明的是，新区管委和所属部门直接出资注册的企业共有5家，2021年度预计均为累计亏损，按照《秦皇岛北戴河新区区属企业国有资本收益收取和支出管理办法》，2022年不能取得国有资本经营收入，故未编制国有资本经营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此外，财政专户收入预计29.22万元，主要是长白学校高中收费收入；事业单位经营收入588.65万元，主要是卫生院医疗收费收入，已按综合预算原则，全部编入相关部门收支预算。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按照预算法及其实施条例规定，在202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年预算年度开始后、</w:t>
      </w:r>
      <w:r>
        <w:rPr>
          <w:rFonts w:hint="eastAsia" w:cs="Times New Roman"/>
          <w:sz w:val="32"/>
          <w:szCs w:val="32"/>
          <w:lang w:val="en-US" w:eastAsia="zh-CN"/>
        </w:rPr>
        <w:t>市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人代会批准预算之前，</w:t>
      </w:r>
      <w:r>
        <w:rPr>
          <w:rFonts w:hint="eastAsia" w:cs="Times New Roman"/>
          <w:sz w:val="32"/>
          <w:szCs w:val="32"/>
          <w:lang w:val="en-US" w:eastAsia="zh-CN"/>
        </w:rPr>
        <w:t>新区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财政已将必须的基本支出额度下达各部门，</w:t>
      </w:r>
      <w:r>
        <w:rPr>
          <w:rFonts w:hint="eastAsia" w:cs="Times New Roman"/>
          <w:sz w:val="32"/>
          <w:szCs w:val="32"/>
          <w:lang w:val="en-US" w:eastAsia="zh-CN"/>
        </w:rPr>
        <w:t>并下达了部分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民生保障</w:t>
      </w:r>
      <w:r>
        <w:rPr>
          <w:rFonts w:hint="eastAsia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疫情防控</w:t>
      </w:r>
      <w:r>
        <w:rPr>
          <w:rFonts w:hint="eastAsia" w:cs="Times New Roman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急需的</w:t>
      </w:r>
      <w:r>
        <w:rPr>
          <w:rFonts w:hint="eastAsia" w:cs="Times New Roman"/>
          <w:sz w:val="32"/>
          <w:szCs w:val="32"/>
          <w:lang w:val="en-US" w:eastAsia="zh-CN"/>
        </w:rPr>
        <w:t>工程款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等资金。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楷体简体" w:hAnsi="方正楷体简体" w:eastAsia="方正楷体简体" w:cs="方正楷体简体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lang w:val="en-US" w:eastAsia="zh-CN"/>
        </w:rPr>
        <w:t>（三）重点支出及重大项目安排情况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lang w:val="en-US" w:eastAsia="zh-CN"/>
        </w:rPr>
        <w:t>随着经济形势变化以及减税降费效应持续显现，当前和今后一个时期，财政收入将保持中低速增长，减收增支的情况还将延续，再加上上一年度收支压力向以后年度累积转化，财政平衡难度进一步加大，“紧平衡”已成为常态。</w:t>
      </w:r>
      <w:r>
        <w:rPr>
          <w:rFonts w:hint="eastAsia" w:ascii="Times New Roman" w:hAnsi="Times New Roman" w:eastAsia="方正仿宋简体" w:cstheme="minorBidi"/>
          <w:kern w:val="2"/>
          <w:sz w:val="32"/>
          <w:szCs w:val="24"/>
          <w:lang w:val="en-US" w:eastAsia="zh-CN" w:bidi="ar-SA"/>
        </w:rPr>
        <w:t>预算编制过程中，我们本着既全面落实过紧日子要求，又积极有为做好财力保障的原则，</w:t>
      </w:r>
      <w:r>
        <w:rPr>
          <w:rFonts w:hint="eastAsia" w:cstheme="minorBidi"/>
          <w:kern w:val="2"/>
          <w:sz w:val="32"/>
          <w:szCs w:val="24"/>
          <w:lang w:val="en-US" w:eastAsia="zh-CN" w:bidi="ar-SA"/>
        </w:rPr>
        <w:t>统筹一般公共预算和政府性基金预算，</w:t>
      </w:r>
      <w:r>
        <w:rPr>
          <w:rFonts w:hint="eastAsia" w:ascii="Times New Roman" w:hAnsi="Times New Roman" w:eastAsia="方正仿宋简体" w:cstheme="minorBidi"/>
          <w:kern w:val="2"/>
          <w:sz w:val="32"/>
          <w:szCs w:val="24"/>
          <w:lang w:val="en-US" w:eastAsia="zh-CN" w:bidi="ar-SA"/>
        </w:rPr>
        <w:t>反复梳理申报项目，区分轻重缓急，坚持有保有压。</w:t>
      </w:r>
      <w:r>
        <w:rPr>
          <w:rFonts w:hint="eastAsia" w:ascii="Times New Roman" w:hAnsi="Times New Roman" w:eastAsia="方正仿宋简体" w:cstheme="minorBidi"/>
          <w:b/>
          <w:bCs/>
          <w:kern w:val="2"/>
          <w:sz w:val="32"/>
          <w:szCs w:val="24"/>
          <w:lang w:val="en-US" w:eastAsia="zh-CN" w:bidi="ar-SA"/>
        </w:rPr>
        <w:t>一是</w:t>
      </w:r>
      <w:r>
        <w:rPr>
          <w:rFonts w:hint="eastAsia" w:ascii="Times New Roman" w:hAnsi="Times New Roman" w:eastAsia="方正仿宋简体" w:cstheme="minorBidi"/>
          <w:kern w:val="2"/>
          <w:sz w:val="32"/>
          <w:szCs w:val="24"/>
          <w:lang w:val="en-US" w:eastAsia="zh-CN" w:bidi="ar-SA"/>
        </w:rPr>
        <w:t>重大部署全面落实，包括乡村振兴、生态治理等重点领域、重点事项所需资金，全力予以安排；</w:t>
      </w:r>
      <w:r>
        <w:rPr>
          <w:rFonts w:hint="eastAsia" w:ascii="Times New Roman" w:hAnsi="Times New Roman" w:eastAsia="方正仿宋简体" w:cstheme="minorBidi"/>
          <w:b/>
          <w:bCs/>
          <w:kern w:val="2"/>
          <w:sz w:val="32"/>
          <w:szCs w:val="24"/>
          <w:lang w:val="en-US" w:eastAsia="zh-CN" w:bidi="ar-SA"/>
        </w:rPr>
        <w:t>二是</w:t>
      </w:r>
      <w:r>
        <w:rPr>
          <w:rFonts w:hint="eastAsia" w:ascii="Times New Roman" w:hAnsi="Times New Roman" w:eastAsia="方正仿宋简体" w:cstheme="minorBidi"/>
          <w:kern w:val="2"/>
          <w:sz w:val="32"/>
          <w:szCs w:val="24"/>
          <w:lang w:val="en-US" w:eastAsia="zh-CN" w:bidi="ar-SA"/>
        </w:rPr>
        <w:t>民生政策应保尽保，包括义务教育、医疗卫生、居民医疗及养老保险、困难群众生活补助、优抚补助、就业再就业等，按国家政策标准足额保障；</w:t>
      </w:r>
      <w:r>
        <w:rPr>
          <w:rFonts w:hint="eastAsia" w:ascii="Times New Roman" w:hAnsi="Times New Roman" w:eastAsia="方正仿宋简体" w:cstheme="minorBidi"/>
          <w:b/>
          <w:bCs/>
          <w:kern w:val="2"/>
          <w:sz w:val="32"/>
          <w:szCs w:val="24"/>
          <w:lang w:val="en-US" w:eastAsia="zh-CN" w:bidi="ar-SA"/>
        </w:rPr>
        <w:t>三是</w:t>
      </w:r>
      <w:r>
        <w:rPr>
          <w:rFonts w:hint="eastAsia" w:ascii="Times New Roman" w:hAnsi="Times New Roman" w:eastAsia="方正仿宋简体" w:cstheme="minorBidi"/>
          <w:b w:val="0"/>
          <w:bCs w:val="0"/>
          <w:kern w:val="2"/>
          <w:sz w:val="32"/>
          <w:szCs w:val="24"/>
          <w:lang w:val="en-US" w:eastAsia="zh-CN" w:bidi="ar-SA"/>
        </w:rPr>
        <w:t>促</w:t>
      </w:r>
      <w:r>
        <w:rPr>
          <w:rFonts w:hint="eastAsia" w:ascii="Times New Roman" w:hAnsi="Times New Roman" w:eastAsia="方正仿宋简体" w:cstheme="minorBidi"/>
          <w:kern w:val="2"/>
          <w:sz w:val="32"/>
          <w:szCs w:val="24"/>
          <w:lang w:val="en-US" w:eastAsia="zh-CN" w:bidi="ar-SA"/>
        </w:rPr>
        <w:t>进发展尽力而为，筹措落实征地和拆迁补偿资金，确保土地供应，</w:t>
      </w:r>
      <w:r>
        <w:rPr>
          <w:rFonts w:hint="eastAsia" w:cstheme="minorBidi"/>
          <w:kern w:val="2"/>
          <w:sz w:val="32"/>
          <w:szCs w:val="24"/>
          <w:lang w:val="en-US" w:eastAsia="zh-CN" w:bidi="ar-SA"/>
        </w:rPr>
        <w:t>安排重点产业发展扶持资金，</w:t>
      </w:r>
      <w:r>
        <w:rPr>
          <w:rFonts w:hint="eastAsia" w:ascii="Times New Roman" w:hAnsi="Times New Roman" w:eastAsia="方正仿宋简体" w:cstheme="minorBidi"/>
          <w:kern w:val="2"/>
          <w:sz w:val="32"/>
          <w:szCs w:val="24"/>
          <w:lang w:val="en-US" w:eastAsia="zh-CN" w:bidi="ar-SA"/>
        </w:rPr>
        <w:t>支持设立产业引导基金；</w:t>
      </w:r>
      <w:r>
        <w:rPr>
          <w:rFonts w:hint="eastAsia" w:ascii="Times New Roman" w:hAnsi="Times New Roman" w:eastAsia="方正仿宋简体" w:cstheme="minorBidi"/>
          <w:b/>
          <w:bCs/>
          <w:kern w:val="2"/>
          <w:sz w:val="32"/>
          <w:szCs w:val="24"/>
          <w:lang w:val="en-US" w:eastAsia="zh-CN" w:bidi="ar-SA"/>
        </w:rPr>
        <w:t>四是</w:t>
      </w:r>
      <w:r>
        <w:rPr>
          <w:rFonts w:hint="eastAsia" w:ascii="Times New Roman" w:hAnsi="Times New Roman" w:eastAsia="方正仿宋简体" w:cstheme="minorBidi"/>
          <w:kern w:val="2"/>
          <w:sz w:val="32"/>
          <w:szCs w:val="24"/>
          <w:lang w:val="en-US" w:eastAsia="zh-CN" w:bidi="ar-SA"/>
        </w:rPr>
        <w:t>人员经费足额安排，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并预留资金落实工资提标和增人增资等支出；</w:t>
      </w:r>
      <w:r>
        <w:rPr>
          <w:rFonts w:hint="eastAsia" w:ascii="Times New Roman" w:hAnsi="Times New Roman" w:eastAsia="方正仿宋简体" w:cstheme="minorBidi"/>
          <w:b/>
          <w:bCs/>
          <w:kern w:val="2"/>
          <w:sz w:val="32"/>
          <w:szCs w:val="24"/>
          <w:lang w:val="en-US" w:eastAsia="zh-CN" w:bidi="ar-SA"/>
        </w:rPr>
        <w:t>五是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运转支出有保有压，在保障基本运转的前提下，各项定额标准均按比例进行了压减</w:t>
      </w:r>
      <w:r>
        <w:rPr>
          <w:rFonts w:hint="eastAsia" w:ascii="方正仿宋简体" w:hAnsi="方正仿宋简体" w:cs="方正仿宋简体"/>
          <w:lang w:val="en-US" w:eastAsia="zh-CN"/>
        </w:rPr>
        <w:t>。在做好上述安排的同时，对非重点、非刚性支出适当压减，并兼顾了部门事业发展需要。</w:t>
      </w:r>
      <w:r>
        <w:rPr>
          <w:rFonts w:hint="eastAsia"/>
          <w:lang w:val="en-US" w:eastAsia="zh-CN"/>
        </w:rPr>
        <w:t>重点支出和重大项目预算安排如下：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方正仿宋简体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简体" w:cs="方正仿宋简体"/>
          <w:b/>
          <w:bCs w:val="0"/>
          <w:lang w:val="en-US" w:eastAsia="zh-CN"/>
        </w:rPr>
        <w:t>1.突出保基本兜底线，持续增进民生福祉。</w:t>
      </w:r>
      <w:r>
        <w:rPr>
          <w:rFonts w:hint="eastAsia" w:ascii="Times New Roman" w:hAnsi="Times New Roman" w:eastAsia="方正仿宋简体" w:cstheme="minorBidi"/>
          <w:kern w:val="2"/>
          <w:sz w:val="32"/>
          <w:szCs w:val="24"/>
          <w:lang w:val="en-US" w:eastAsia="zh-CN" w:bidi="ar-SA"/>
        </w:rPr>
        <w:t xml:space="preserve">安排29233万元，健全基本公共服务体系，繁荣发展文化事业，推进以人为核心的新型城镇化和共同富裕。包括：社会保障和就业7790万元，主要用于社会保险补助补贴、社会救助、社会福利、优抚安置和就业再就业；教育支出6696万元，主要用于南戴河实验学校及团林实验学校附属工程建设、各类生均拨款、学生资助、校舍维修和教师队伍建设等；公共卫生3622万元，主要用于公共卫生服务、疫情防控等突发性应急保障、计划生育家庭奖励扶助等；公共文化1006万元，主要用于文化宣传；城市管理10119万元，主要用于老旧小区改造、城市区环卫保洁、城市供热及污水处理等。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方正仿宋简体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简体" w:cs="方正仿宋简体"/>
          <w:b/>
          <w:bCs w:val="0"/>
          <w:lang w:val="en-US" w:eastAsia="zh-CN"/>
        </w:rPr>
        <w:t>2.着力支持生态文明建设，推进新区绿色发展。</w:t>
      </w:r>
      <w:r>
        <w:rPr>
          <w:rFonts w:hint="eastAsia" w:ascii="Times New Roman" w:hAnsi="Times New Roman" w:eastAsia="方正仿宋简体" w:cstheme="minorBidi"/>
          <w:kern w:val="2"/>
          <w:sz w:val="32"/>
          <w:szCs w:val="24"/>
          <w:lang w:val="en-US" w:eastAsia="zh-CN" w:bidi="ar-SA"/>
        </w:rPr>
        <w:t>安排21</w:t>
      </w:r>
      <w:r>
        <w:rPr>
          <w:rFonts w:hint="eastAsia" w:eastAsia="方正仿宋简体" w:cstheme="minorBidi"/>
          <w:kern w:val="2"/>
          <w:sz w:val="32"/>
          <w:szCs w:val="24"/>
          <w:lang w:val="en-US" w:eastAsia="zh-CN" w:bidi="ar-SA"/>
        </w:rPr>
        <w:t>8</w:t>
      </w:r>
      <w:r>
        <w:rPr>
          <w:rFonts w:hint="eastAsia" w:ascii="Times New Roman" w:hAnsi="Times New Roman" w:eastAsia="方正仿宋简体" w:cstheme="minorBidi"/>
          <w:kern w:val="2"/>
          <w:sz w:val="32"/>
          <w:szCs w:val="24"/>
          <w:lang w:val="en-US" w:eastAsia="zh-CN" w:bidi="ar-SA"/>
        </w:rPr>
        <w:t>77万元，深入实施可持续发展战略，构建生态文明体系，持续改善环境质量。包括：大气污染防治969万元，重点用于农村清洁取暖；水污染防治1</w:t>
      </w:r>
      <w:r>
        <w:rPr>
          <w:rFonts w:hint="eastAsia" w:eastAsia="方正仿宋简体" w:cstheme="minorBidi"/>
          <w:kern w:val="2"/>
          <w:sz w:val="32"/>
          <w:szCs w:val="24"/>
          <w:lang w:val="en-US" w:eastAsia="zh-CN" w:bidi="ar-SA"/>
        </w:rPr>
        <w:t>7</w:t>
      </w:r>
      <w:r>
        <w:rPr>
          <w:rFonts w:hint="eastAsia" w:ascii="Times New Roman" w:hAnsi="Times New Roman" w:eastAsia="方正仿宋简体" w:cstheme="minorBidi"/>
          <w:kern w:val="2"/>
          <w:sz w:val="32"/>
          <w:szCs w:val="24"/>
          <w:lang w:val="en-US" w:eastAsia="zh-CN" w:bidi="ar-SA"/>
        </w:rPr>
        <w:t>95万元，重点用于实施水污染防治计划，改善河流水质；海洋生态修复8655万元，重点用于海洋及岸线生态保护修复工程退养；中小河流治理1100万元，重点用于减河、老饮马河和沿沟河治理工程；造林绿化9358万元，重点用于实施造林绿化工程和园林养护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方正仿宋简体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简体" w:cs="方正仿宋简体"/>
          <w:b/>
          <w:bCs w:val="0"/>
          <w:lang w:val="en-US" w:eastAsia="zh-CN"/>
        </w:rPr>
        <w:t>3.着力支持乡村振兴，推进农业农村优先发展。</w:t>
      </w:r>
      <w:r>
        <w:rPr>
          <w:rFonts w:hint="eastAsia" w:ascii="Times New Roman" w:hAnsi="Times New Roman" w:eastAsia="方正仿宋简体" w:cstheme="minorBidi"/>
          <w:kern w:val="2"/>
          <w:sz w:val="32"/>
          <w:szCs w:val="24"/>
          <w:lang w:val="en-US" w:eastAsia="zh-CN" w:bidi="ar-SA"/>
        </w:rPr>
        <w:t>安排6663万元，全面推进乡村振兴战略，改善乡村环境。包括：农村人居环境改善4714万元，重点用于农村环卫保洁、河道保洁、污水治理、卫生厕所改造；加强农村基层基础工作1245万元，足额落实村级组织运转经费；高标农田建设244万元；现代农业产业园建设460万元，促进农村一二三产业深度融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方正仿宋简体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简体" w:cs="方正仿宋简体"/>
          <w:b/>
          <w:bCs w:val="0"/>
          <w:lang w:val="en-US" w:eastAsia="zh-CN"/>
        </w:rPr>
        <w:t>4.着力推动产业兴区，促进新区可持续发展。</w:t>
      </w:r>
      <w:r>
        <w:rPr>
          <w:rFonts w:hint="eastAsia" w:ascii="Times New Roman" w:hAnsi="Times New Roman" w:eastAsia="方正仿宋简体" w:cstheme="minorBidi"/>
          <w:kern w:val="2"/>
          <w:sz w:val="32"/>
          <w:szCs w:val="24"/>
          <w:lang w:val="en-US" w:eastAsia="zh-CN" w:bidi="ar-SA"/>
        </w:rPr>
        <w:t>安排26036万元，推动重点产业加快发展，提升核心竞争力。包括：重点产业发展扶持和产业引导基金22200万元，招商引资、产业新城合作开发付费及项目前期费等3836万元，发挥财政资金引领带动作用，把发展经济着力点放在实体经济上，努力构建“医、药、养、健、游”全健康产业发展新格局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/>
          <w:bCs w:val="0"/>
          <w:lang w:val="en-US" w:eastAsia="zh-CN"/>
        </w:rPr>
        <w:t>5.着力推进基础设施建设，夯实新区发展之基。</w:t>
      </w:r>
      <w:r>
        <w:rPr>
          <w:rFonts w:hint="eastAsia" w:ascii="Times New Roman" w:hAnsi="Times New Roman" w:eastAsia="方正仿宋简体" w:cstheme="minorBidi"/>
          <w:kern w:val="2"/>
          <w:sz w:val="32"/>
          <w:szCs w:val="24"/>
          <w:lang w:val="en-US" w:eastAsia="zh-CN" w:bidi="ar-SA"/>
        </w:rPr>
        <w:t>安排58663万元，全力推进生命健康产业创新示范区建设。包括：征地和拆迁补偿支出40703万元，加大土地储备和开发力度，破解项目建设用地瓶颈；基础设施建设资金17960万元，支持道路、管网等配套基础设施建设，继续完善基础设施水平</w:t>
      </w:r>
      <w:r>
        <w:rPr>
          <w:rFonts w:hint="eastAsia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方正仿宋简体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简体" w:cs="方正仿宋简体"/>
          <w:b/>
          <w:bCs w:val="0"/>
          <w:lang w:val="en-US" w:eastAsia="zh-CN"/>
        </w:rPr>
        <w:t>6.着力支持平安新区建设，保持社会大局稳定。</w:t>
      </w:r>
      <w:r>
        <w:rPr>
          <w:rFonts w:hint="eastAsia" w:ascii="Times New Roman" w:hAnsi="Times New Roman" w:eastAsia="方正仿宋简体" w:cstheme="minorBidi"/>
          <w:kern w:val="2"/>
          <w:sz w:val="32"/>
          <w:szCs w:val="24"/>
          <w:lang w:val="en-US" w:eastAsia="zh-CN" w:bidi="ar-SA"/>
        </w:rPr>
        <w:t>安排4083万元，加强安全体系和能力建设，保障人民生命安全，维护社会稳定。包括：公共安全3287万元，主要用于智慧安全社区、人脸测温系统、视频监控系统等建设和运行维护；安全生产796万元，主要用于安全生产管理、消防应急救援及消防站建设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Times New Roman" w:hAnsi="Times New Roman" w:eastAsia="方正仿宋简体" w:cs="方正仿宋简体"/>
          <w:b/>
          <w:bCs w:val="0"/>
          <w:lang w:val="en-US" w:eastAsia="zh-CN"/>
        </w:rPr>
        <w:t>7.着力防范和化解债务风险，保持财政平稳运行。</w:t>
      </w:r>
      <w:r>
        <w:rPr>
          <w:rFonts w:hint="eastAsia" w:ascii="Times New Roman" w:hAnsi="Times New Roman" w:eastAsia="方正仿宋简体" w:cstheme="minorBidi"/>
          <w:kern w:val="2"/>
          <w:sz w:val="32"/>
          <w:szCs w:val="24"/>
          <w:lang w:val="en-US" w:eastAsia="zh-CN" w:bidi="ar-SA"/>
        </w:rPr>
        <w:t>安排67721万元，包括：一般债务还本付息支出31525万元，专项债务还本付息13908万元，棚改贷款及专项建设基金还本付息13843万元，土储项目政府付费5932万元，其他项目还本付息2513万元。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简体" w:cstheme="minorBidi"/>
          <w:kern w:val="2"/>
          <w:sz w:val="32"/>
          <w:szCs w:val="24"/>
          <w:lang w:val="en-US" w:eastAsia="zh-CN" w:bidi="ar-SA"/>
        </w:rPr>
        <w:t>此外，安排预备费2000万元。区级财政拨款“三公”经费预算安排3</w:t>
      </w:r>
      <w:r>
        <w:rPr>
          <w:rFonts w:hint="eastAsia" w:eastAsia="方正仿宋简体" w:cstheme="minorBidi"/>
          <w:kern w:val="2"/>
          <w:sz w:val="32"/>
          <w:szCs w:val="24"/>
          <w:lang w:val="en-US" w:eastAsia="zh-CN" w:bidi="ar-SA"/>
        </w:rPr>
        <w:t>13</w:t>
      </w:r>
      <w:r>
        <w:rPr>
          <w:rFonts w:hint="eastAsia" w:ascii="Times New Roman" w:hAnsi="Times New Roman" w:eastAsia="方正仿宋简体" w:cstheme="minorBidi"/>
          <w:kern w:val="2"/>
          <w:sz w:val="32"/>
          <w:szCs w:val="24"/>
          <w:lang w:val="en-US" w:eastAsia="zh-CN" w:bidi="ar-SA"/>
        </w:rPr>
        <w:t>.97万元，下降</w:t>
      </w:r>
      <w:r>
        <w:rPr>
          <w:rFonts w:hint="eastAsia" w:eastAsia="方正仿宋简体" w:cstheme="minorBidi"/>
          <w:kern w:val="2"/>
          <w:sz w:val="32"/>
          <w:szCs w:val="24"/>
          <w:lang w:val="en-US" w:eastAsia="zh-CN" w:bidi="ar-SA"/>
        </w:rPr>
        <w:t>11.23</w:t>
      </w:r>
      <w:r>
        <w:rPr>
          <w:rFonts w:hint="eastAsia" w:ascii="Times New Roman" w:hAnsi="Times New Roman" w:eastAsia="方正仿宋简体" w:cstheme="minorBidi"/>
          <w:kern w:val="2"/>
          <w:sz w:val="32"/>
          <w:szCs w:val="24"/>
          <w:lang w:val="en-US" w:eastAsia="zh-CN" w:bidi="ar-SA"/>
        </w:rPr>
        <w:t>%。包括：①公务用车购置及运行维护费100万元，下降11.19%；②公务接待费153.97万元，下降10.03%；③因公出国（境）费60万元，下降14.29%。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lang w:val="en-US" w:eastAsia="zh-CN"/>
        </w:rPr>
        <w:t>（四）上级提前通知专项转移支付资金支出安排情况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区级共收到上级财政提前通知专项转移支付资金8910万元，其中：一般公共预算8729万元，政府性基金预算181万元。按照专款专用使用方向，已全部细化编制到具体项目和单位。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三、加强预算管理的主要措施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2022年，我们将认真落实中央和省、市决策部署及工作要求，围绕上述预算安排，突出问题导向和目标导向，坚持依法理财，优化管理机制，细化工作举措，强化保障措施，扎实推进各项政策措施落地，确保完成全年预算任务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</w:t>
      </w:r>
      <w:r>
        <w:rPr>
          <w:rStyle w:val="16"/>
          <w:rFonts w:hint="eastAsia"/>
          <w:lang w:val="en-US" w:eastAsia="zh-CN"/>
        </w:rPr>
        <w:t>（一）全面落实积极财政政策。</w:t>
      </w:r>
      <w:r>
        <w:rPr>
          <w:rFonts w:hint="eastAsia"/>
          <w:lang w:val="en-US" w:eastAsia="zh-CN"/>
        </w:rPr>
        <w:t>加强政策、资金、资产和预算间统筹，建立健全优化财政资源配置长效机制，集中力量保障重大决策部署落实。严格执行减税降费政策，加大违规收费整治力度，确保各项优惠政策落实到位，持续增强企业获得感，激发市场主体活力。用足用好中央预算内基建投资和政府债券政策，支持重点领域和重点项目建设，扩大有效投资，拉动经济增长。创新财政支持经济发展方式，研究设立产业投资基金，促进示范区产业持续快速发展。 统筹产业发展资金，优化引导基金和各类奖补资金使用，加快建设现代产业体系。积极谋划成立新区金融小镇，集聚金融产业，紧密对接实体经济，带动产业发展和提升。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Style w:val="16"/>
          <w:rFonts w:hint="eastAsia"/>
          <w:lang w:val="en-US" w:eastAsia="zh-CN"/>
        </w:rPr>
        <w:t>（二）大力推进依法规范理财。</w:t>
      </w:r>
      <w:r>
        <w:rPr>
          <w:rFonts w:hint="eastAsia"/>
          <w:lang w:val="en-US" w:eastAsia="zh-CN"/>
        </w:rPr>
        <w:t>认真贯彻预算法及其实施条例，进一步强化预算约束，严格按照预算安排支出，严禁无预算超预算支出，严控预算调剂追加。深入贯彻《关于人大预算审查监督重点向支出预算和政策拓展的指导意见》，进一步完善预算决算报告和草案编报，自觉接受预算决算审查监督。扎实做好国有资产管理情况综合报告和相关专项报告工作。全面推进政务公开，推动预决算公开规范化、常态化、制度化，提高财政透明度。积极主动回应人大代表关切，做好解释说明工作，更好服务人大代表依法履职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</w:t>
      </w:r>
      <w:r>
        <w:rPr>
          <w:rStyle w:val="16"/>
          <w:rFonts w:hint="eastAsia"/>
          <w:lang w:val="en-US" w:eastAsia="zh-CN"/>
        </w:rPr>
        <w:t>（三）着力加强财政收支管理。</w:t>
      </w:r>
      <w:r>
        <w:rPr>
          <w:rFonts w:hint="eastAsia"/>
          <w:lang w:val="en-US" w:eastAsia="zh-CN"/>
        </w:rPr>
        <w:t>坚持把提高质量效益贯穿预算执行全过程，努力促进收入提质、支出提效。严格依法依规组织财政收入，科学分析研判财经形势，强化财税部门协调联动，严禁收取“过头税费”或虚收空转，做到应减尽减、应收尽收，切实提高财政收入质量。继续研究推进城镇土地使用税调整工作，实现政策统一、税负公平、稳定增收。强化财政支出管理，全面落实过紧日子要求，深入挖掘节支潜力，大力压减非重点、非刚性支出，严格执行差旅、会议等经费标准，加大重点领域和刚性支出保障力度；进一步完善加快财政支出的制度机制，更加突出绩效导向，着力提高预算执行均衡性、有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lang w:val="en-US" w:eastAsia="zh-CN"/>
        </w:rPr>
      </w:pPr>
      <w:r>
        <w:rPr>
          <w:rStyle w:val="16"/>
          <w:rFonts w:hint="eastAsia"/>
          <w:lang w:val="en-US" w:eastAsia="zh-CN"/>
        </w:rPr>
        <w:t>（四）继续深化财税体制改革。</w:t>
      </w:r>
      <w:r>
        <w:rPr>
          <w:rFonts w:hint="eastAsia"/>
          <w:lang w:val="en-US" w:eastAsia="zh-CN"/>
        </w:rPr>
        <w:t>进一步深化预算管理制度改革，积极推进财政支出标准化建设，强化预算对落实重大决策部署的保障能力。健全权责对等、激励相容的预算绩效管理机制，推进预算和绩效管理深度融合。深化政府采购制度改革，全面抓好改革实施方案落实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cs="方正仿宋简体"/>
        </w:rPr>
      </w:pPr>
      <w:r>
        <w:rPr>
          <w:rStyle w:val="16"/>
          <w:rFonts w:hint="eastAsia"/>
          <w:lang w:val="en-US" w:eastAsia="zh-CN"/>
        </w:rPr>
        <w:t>（五）切实防范化解财政风险。</w:t>
      </w:r>
      <w:r>
        <w:rPr>
          <w:rFonts w:hint="eastAsia"/>
          <w:lang w:val="en-US" w:eastAsia="zh-CN"/>
        </w:rPr>
        <w:t>着力统筹发展和安全，做好重点领域风险防范化解工作，确保财政经济行稳致远、更可持续。坚决兜牢“三保”底线，足额落实“三保”预算；持续强化财政运行监控，动态掌握预算执行情况，发现问题及时督导整改落实。严防政府债务风险，严格落实风险化解规划、做好应急处置预案。紧紧围绕污染防治、民生保障、乡村振兴等重点领域资金，持续开展监督检查，推动安全规范高效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eastAsia="方正仿宋简体" w:cs="Times New Roman"/>
          <w:highlight w:val="none"/>
          <w:lang w:val="en-US" w:eastAsia="zh-CN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76475644"/>
                          </w:sdt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13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76475644"/>
                    </w:sdt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BE"/>
    <w:rsid w:val="00011519"/>
    <w:rsid w:val="000225D1"/>
    <w:rsid w:val="000339B1"/>
    <w:rsid w:val="00036C1E"/>
    <w:rsid w:val="0006497A"/>
    <w:rsid w:val="000737B5"/>
    <w:rsid w:val="00075128"/>
    <w:rsid w:val="000B3756"/>
    <w:rsid w:val="000F436C"/>
    <w:rsid w:val="001131A9"/>
    <w:rsid w:val="00131D7D"/>
    <w:rsid w:val="00141C2A"/>
    <w:rsid w:val="00191FDC"/>
    <w:rsid w:val="002B24A3"/>
    <w:rsid w:val="002C3290"/>
    <w:rsid w:val="002E1916"/>
    <w:rsid w:val="002E4352"/>
    <w:rsid w:val="00302D4E"/>
    <w:rsid w:val="003353D1"/>
    <w:rsid w:val="00343A85"/>
    <w:rsid w:val="00350090"/>
    <w:rsid w:val="0035103C"/>
    <w:rsid w:val="0038126C"/>
    <w:rsid w:val="00384D1D"/>
    <w:rsid w:val="003975D0"/>
    <w:rsid w:val="003B76D2"/>
    <w:rsid w:val="003E64F4"/>
    <w:rsid w:val="003F2F88"/>
    <w:rsid w:val="003F7805"/>
    <w:rsid w:val="004062A1"/>
    <w:rsid w:val="00422ACB"/>
    <w:rsid w:val="00424007"/>
    <w:rsid w:val="0043770E"/>
    <w:rsid w:val="00450872"/>
    <w:rsid w:val="004A0B01"/>
    <w:rsid w:val="004B0AC1"/>
    <w:rsid w:val="004B7FC0"/>
    <w:rsid w:val="004F2429"/>
    <w:rsid w:val="004F4637"/>
    <w:rsid w:val="00505C2D"/>
    <w:rsid w:val="0050648D"/>
    <w:rsid w:val="00524484"/>
    <w:rsid w:val="0053305F"/>
    <w:rsid w:val="00554470"/>
    <w:rsid w:val="00562328"/>
    <w:rsid w:val="00584B6A"/>
    <w:rsid w:val="005A78C0"/>
    <w:rsid w:val="005B6251"/>
    <w:rsid w:val="005C0ECC"/>
    <w:rsid w:val="005C3B58"/>
    <w:rsid w:val="006077ED"/>
    <w:rsid w:val="00635C6A"/>
    <w:rsid w:val="00682FB9"/>
    <w:rsid w:val="00684786"/>
    <w:rsid w:val="006A551C"/>
    <w:rsid w:val="006F275A"/>
    <w:rsid w:val="0077071C"/>
    <w:rsid w:val="007745A4"/>
    <w:rsid w:val="007A0D94"/>
    <w:rsid w:val="007B6050"/>
    <w:rsid w:val="007C2135"/>
    <w:rsid w:val="007D1D1D"/>
    <w:rsid w:val="007F47A6"/>
    <w:rsid w:val="00813A60"/>
    <w:rsid w:val="00826FE6"/>
    <w:rsid w:val="00830541"/>
    <w:rsid w:val="00840656"/>
    <w:rsid w:val="008745B5"/>
    <w:rsid w:val="008943D1"/>
    <w:rsid w:val="008A353F"/>
    <w:rsid w:val="008D5705"/>
    <w:rsid w:val="009345E6"/>
    <w:rsid w:val="00954C44"/>
    <w:rsid w:val="00992459"/>
    <w:rsid w:val="00995B73"/>
    <w:rsid w:val="009D6FB9"/>
    <w:rsid w:val="009F509D"/>
    <w:rsid w:val="00A00BEB"/>
    <w:rsid w:val="00A132A2"/>
    <w:rsid w:val="00A30589"/>
    <w:rsid w:val="00AB7AA8"/>
    <w:rsid w:val="00AC6A80"/>
    <w:rsid w:val="00AF4D9A"/>
    <w:rsid w:val="00B01E1C"/>
    <w:rsid w:val="00B04954"/>
    <w:rsid w:val="00B729AA"/>
    <w:rsid w:val="00B7462D"/>
    <w:rsid w:val="00B94199"/>
    <w:rsid w:val="00B96F55"/>
    <w:rsid w:val="00BC6457"/>
    <w:rsid w:val="00BD2420"/>
    <w:rsid w:val="00BD2A20"/>
    <w:rsid w:val="00BF28BE"/>
    <w:rsid w:val="00C0288D"/>
    <w:rsid w:val="00C24B34"/>
    <w:rsid w:val="00C32E39"/>
    <w:rsid w:val="00C41F54"/>
    <w:rsid w:val="00CC4F35"/>
    <w:rsid w:val="00CF6793"/>
    <w:rsid w:val="00D00A4D"/>
    <w:rsid w:val="00D27D8B"/>
    <w:rsid w:val="00D30D2F"/>
    <w:rsid w:val="00D7349C"/>
    <w:rsid w:val="00D76137"/>
    <w:rsid w:val="00DA143A"/>
    <w:rsid w:val="00DA174E"/>
    <w:rsid w:val="00DB085C"/>
    <w:rsid w:val="00DD0E24"/>
    <w:rsid w:val="00DD4E14"/>
    <w:rsid w:val="00DE1A73"/>
    <w:rsid w:val="00E015DB"/>
    <w:rsid w:val="00E247D6"/>
    <w:rsid w:val="00E36C21"/>
    <w:rsid w:val="00E8100D"/>
    <w:rsid w:val="00EF0659"/>
    <w:rsid w:val="00F12CCF"/>
    <w:rsid w:val="00F1440E"/>
    <w:rsid w:val="00F24069"/>
    <w:rsid w:val="00F41283"/>
    <w:rsid w:val="00F849F1"/>
    <w:rsid w:val="00F93A47"/>
    <w:rsid w:val="00FB4FC7"/>
    <w:rsid w:val="00FD2412"/>
    <w:rsid w:val="00FE79AC"/>
    <w:rsid w:val="010075E4"/>
    <w:rsid w:val="016346C3"/>
    <w:rsid w:val="0185522C"/>
    <w:rsid w:val="018D20FB"/>
    <w:rsid w:val="01D9348E"/>
    <w:rsid w:val="021620AA"/>
    <w:rsid w:val="029116E2"/>
    <w:rsid w:val="036B1B5A"/>
    <w:rsid w:val="03E8367B"/>
    <w:rsid w:val="04852CF4"/>
    <w:rsid w:val="05D75406"/>
    <w:rsid w:val="066649ED"/>
    <w:rsid w:val="071174A5"/>
    <w:rsid w:val="07D16F19"/>
    <w:rsid w:val="08CC2895"/>
    <w:rsid w:val="090E0C75"/>
    <w:rsid w:val="09DC187A"/>
    <w:rsid w:val="0A6D0828"/>
    <w:rsid w:val="0C7649AE"/>
    <w:rsid w:val="0C7F3C1B"/>
    <w:rsid w:val="0D4355C8"/>
    <w:rsid w:val="0E7B67F6"/>
    <w:rsid w:val="0EC22707"/>
    <w:rsid w:val="1005361A"/>
    <w:rsid w:val="14C76912"/>
    <w:rsid w:val="14C86E00"/>
    <w:rsid w:val="15705FE2"/>
    <w:rsid w:val="15710447"/>
    <w:rsid w:val="17D25BF4"/>
    <w:rsid w:val="182B663A"/>
    <w:rsid w:val="18812F4F"/>
    <w:rsid w:val="18C57063"/>
    <w:rsid w:val="18DE269F"/>
    <w:rsid w:val="19496004"/>
    <w:rsid w:val="1A2E1939"/>
    <w:rsid w:val="1A784EFF"/>
    <w:rsid w:val="1B054238"/>
    <w:rsid w:val="1C1F00E9"/>
    <w:rsid w:val="1C6D6795"/>
    <w:rsid w:val="1CEE171A"/>
    <w:rsid w:val="1D805864"/>
    <w:rsid w:val="1DCF1A55"/>
    <w:rsid w:val="1E3E0C64"/>
    <w:rsid w:val="1F7D2393"/>
    <w:rsid w:val="1FA97865"/>
    <w:rsid w:val="1FAF3B07"/>
    <w:rsid w:val="20F740B6"/>
    <w:rsid w:val="213C4625"/>
    <w:rsid w:val="21E460BD"/>
    <w:rsid w:val="23594CDA"/>
    <w:rsid w:val="23807536"/>
    <w:rsid w:val="23DC509A"/>
    <w:rsid w:val="262F222A"/>
    <w:rsid w:val="268F392A"/>
    <w:rsid w:val="2798657D"/>
    <w:rsid w:val="27A45C74"/>
    <w:rsid w:val="27EF50D7"/>
    <w:rsid w:val="2AB67E1D"/>
    <w:rsid w:val="2D476A8F"/>
    <w:rsid w:val="2D581293"/>
    <w:rsid w:val="2DA1796B"/>
    <w:rsid w:val="2F2101F3"/>
    <w:rsid w:val="30F07961"/>
    <w:rsid w:val="322B3232"/>
    <w:rsid w:val="32FB4BE6"/>
    <w:rsid w:val="343036BC"/>
    <w:rsid w:val="343B4036"/>
    <w:rsid w:val="362D0D39"/>
    <w:rsid w:val="37121247"/>
    <w:rsid w:val="37956CD9"/>
    <w:rsid w:val="37B54ADF"/>
    <w:rsid w:val="37D91726"/>
    <w:rsid w:val="388C76BD"/>
    <w:rsid w:val="39243F22"/>
    <w:rsid w:val="3ABC3CA1"/>
    <w:rsid w:val="3B452D65"/>
    <w:rsid w:val="3B4B6516"/>
    <w:rsid w:val="3B5E5051"/>
    <w:rsid w:val="3BB047A8"/>
    <w:rsid w:val="3BBA1CC3"/>
    <w:rsid w:val="3D46417C"/>
    <w:rsid w:val="40812836"/>
    <w:rsid w:val="40CD17C5"/>
    <w:rsid w:val="40EA53ED"/>
    <w:rsid w:val="43AB0B8C"/>
    <w:rsid w:val="495875B2"/>
    <w:rsid w:val="49C7403C"/>
    <w:rsid w:val="4A513731"/>
    <w:rsid w:val="4D0B786C"/>
    <w:rsid w:val="4D657B6B"/>
    <w:rsid w:val="4DE30420"/>
    <w:rsid w:val="51B5081A"/>
    <w:rsid w:val="52E408C6"/>
    <w:rsid w:val="534E3A46"/>
    <w:rsid w:val="54941D06"/>
    <w:rsid w:val="56643FA9"/>
    <w:rsid w:val="566E7E0E"/>
    <w:rsid w:val="56FD7212"/>
    <w:rsid w:val="59352272"/>
    <w:rsid w:val="5A1E14CF"/>
    <w:rsid w:val="5BBD78AD"/>
    <w:rsid w:val="5C3E2860"/>
    <w:rsid w:val="5C971289"/>
    <w:rsid w:val="5E1F6DBA"/>
    <w:rsid w:val="5E5F2126"/>
    <w:rsid w:val="5E815F65"/>
    <w:rsid w:val="5E8B3BF9"/>
    <w:rsid w:val="5EB93191"/>
    <w:rsid w:val="5EDB30EA"/>
    <w:rsid w:val="5EF757DF"/>
    <w:rsid w:val="6024203D"/>
    <w:rsid w:val="60331826"/>
    <w:rsid w:val="605B733B"/>
    <w:rsid w:val="60FA1FE9"/>
    <w:rsid w:val="611C5B59"/>
    <w:rsid w:val="615038DC"/>
    <w:rsid w:val="62200182"/>
    <w:rsid w:val="63171E45"/>
    <w:rsid w:val="63480079"/>
    <w:rsid w:val="639F778B"/>
    <w:rsid w:val="63ED689D"/>
    <w:rsid w:val="64014502"/>
    <w:rsid w:val="66FE3DF4"/>
    <w:rsid w:val="6786394A"/>
    <w:rsid w:val="67EF06D5"/>
    <w:rsid w:val="67F6121D"/>
    <w:rsid w:val="683758D1"/>
    <w:rsid w:val="684F4FA7"/>
    <w:rsid w:val="68BF4D9E"/>
    <w:rsid w:val="68C73148"/>
    <w:rsid w:val="68F711E3"/>
    <w:rsid w:val="69211BAD"/>
    <w:rsid w:val="698C2C40"/>
    <w:rsid w:val="6A6223C9"/>
    <w:rsid w:val="6B4B3680"/>
    <w:rsid w:val="6D7A24C7"/>
    <w:rsid w:val="6FFF259A"/>
    <w:rsid w:val="70CA1BDD"/>
    <w:rsid w:val="71007492"/>
    <w:rsid w:val="726C6AFD"/>
    <w:rsid w:val="73B82CCF"/>
    <w:rsid w:val="73E70AB5"/>
    <w:rsid w:val="741041D1"/>
    <w:rsid w:val="746A4D86"/>
    <w:rsid w:val="77BB31F1"/>
    <w:rsid w:val="78093C20"/>
    <w:rsid w:val="793F7ACB"/>
    <w:rsid w:val="79582461"/>
    <w:rsid w:val="7A3A1105"/>
    <w:rsid w:val="7B0F7ED1"/>
    <w:rsid w:val="7B277BC1"/>
    <w:rsid w:val="7B3574D5"/>
    <w:rsid w:val="7B470636"/>
    <w:rsid w:val="7B9F24F3"/>
    <w:rsid w:val="7BFA2922"/>
    <w:rsid w:val="7C323324"/>
    <w:rsid w:val="7CD90C16"/>
    <w:rsid w:val="7D010553"/>
    <w:rsid w:val="7D3149B6"/>
    <w:rsid w:val="7E14706A"/>
    <w:rsid w:val="7FFA75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方正仿宋简体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outlineLvl w:val="2"/>
    </w:pPr>
    <w:rPr>
      <w:rFonts w:eastAsia="方正楷体简体"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10">
    <w:name w:val="标题 1 字符"/>
    <w:basedOn w:val="9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1">
    <w:name w:val="标题 2 字符"/>
    <w:basedOn w:val="9"/>
    <w:link w:val="3"/>
    <w:qFormat/>
    <w:uiPriority w:val="9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2">
    <w:name w:val="标题 3 字符"/>
    <w:basedOn w:val="9"/>
    <w:link w:val="4"/>
    <w:qFormat/>
    <w:uiPriority w:val="9"/>
    <w:rPr>
      <w:rFonts w:eastAsia="方正楷体简体"/>
      <w:bCs/>
      <w:sz w:val="32"/>
      <w:szCs w:val="32"/>
    </w:rPr>
  </w:style>
  <w:style w:type="character" w:customStyle="1" w:styleId="13">
    <w:name w:val="页眉 字符"/>
    <w:basedOn w:val="9"/>
    <w:link w:val="7"/>
    <w:qFormat/>
    <w:uiPriority w:val="99"/>
    <w:rPr>
      <w:rFonts w:ascii="Times New Roman" w:hAnsi="Times New Roman" w:eastAsia="方正仿宋简体"/>
      <w:sz w:val="18"/>
      <w:szCs w:val="18"/>
    </w:rPr>
  </w:style>
  <w:style w:type="character" w:customStyle="1" w:styleId="14">
    <w:name w:val="页脚 字符"/>
    <w:basedOn w:val="9"/>
    <w:link w:val="6"/>
    <w:qFormat/>
    <w:uiPriority w:val="99"/>
    <w:rPr>
      <w:rFonts w:ascii="Times New Roman" w:hAnsi="Times New Roman" w:eastAsia="方正仿宋简体"/>
      <w:sz w:val="18"/>
      <w:szCs w:val="18"/>
    </w:rPr>
  </w:style>
  <w:style w:type="character" w:customStyle="1" w:styleId="15">
    <w:name w:val="批注框文本 字符"/>
    <w:basedOn w:val="9"/>
    <w:link w:val="5"/>
    <w:semiHidden/>
    <w:qFormat/>
    <w:uiPriority w:val="99"/>
    <w:rPr>
      <w:rFonts w:ascii="Times New Roman" w:hAnsi="Times New Roman" w:eastAsia="方正仿宋简体"/>
      <w:sz w:val="18"/>
      <w:szCs w:val="18"/>
    </w:rPr>
  </w:style>
  <w:style w:type="character" w:customStyle="1" w:styleId="16">
    <w:name w:val="标题 3 Char"/>
    <w:link w:val="4"/>
    <w:qFormat/>
    <w:uiPriority w:val="0"/>
    <w:rPr>
      <w:rFonts w:eastAsia="方正楷体简体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1030</Words>
  <Characters>5873</Characters>
  <Lines>48</Lines>
  <Paragraphs>13</Paragraphs>
  <TotalTime>1</TotalTime>
  <ScaleCrop>false</ScaleCrop>
  <LinksUpToDate>false</LinksUpToDate>
  <CharactersWithSpaces>6890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2018-12-18T01:32:00Z</dcterms:created>
  <dc:creator>zr</dc:creator>
  <cp:lastModifiedBy>Administrator</cp:lastModifiedBy>
  <cp:lastPrinted>2022-01-11T07:51:00Z</cp:lastPrinted>
  <dcterms:modified xsi:type="dcterms:W3CDTF">2022-02-10T06:01:46Z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