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99F4" w14:textId="77777777" w:rsidR="00AC6336" w:rsidRDefault="00AC6336">
      <w:pPr>
        <w:spacing w:line="600" w:lineRule="exact"/>
        <w:rPr>
          <w:rFonts w:ascii="仿宋" w:eastAsia="仿宋" w:cs="仿宋"/>
          <w:b/>
          <w:sz w:val="32"/>
          <w:szCs w:val="32"/>
        </w:rPr>
      </w:pPr>
    </w:p>
    <w:p w14:paraId="39D7E242" w14:textId="77777777" w:rsidR="00AC6336" w:rsidRDefault="00607D1C">
      <w:pPr>
        <w:widowControl/>
        <w:spacing w:line="360" w:lineRule="auto"/>
        <w:jc w:val="center"/>
        <w:rPr>
          <w:rFonts w:ascii="方正小标宋简体" w:eastAsia="方正小标宋简体"/>
          <w:b/>
          <w:color w:val="000000"/>
          <w:kern w:val="0"/>
          <w:sz w:val="44"/>
          <w:szCs w:val="44"/>
        </w:rPr>
      </w:pPr>
      <w:r>
        <w:rPr>
          <w:rFonts w:ascii="方正小标宋简体" w:eastAsia="方正小标宋简体" w:hint="eastAsia"/>
          <w:b/>
          <w:color w:val="000000"/>
          <w:kern w:val="0"/>
          <w:sz w:val="44"/>
          <w:szCs w:val="44"/>
        </w:rPr>
        <w:t>秦皇岛市2022年度开展消费促销活动经费</w:t>
      </w:r>
    </w:p>
    <w:p w14:paraId="2A0FD5CB" w14:textId="77777777" w:rsidR="00AC6336" w:rsidRDefault="00607D1C">
      <w:pPr>
        <w:widowControl/>
        <w:spacing w:line="360" w:lineRule="auto"/>
        <w:jc w:val="center"/>
        <w:rPr>
          <w:rFonts w:ascii="方正小标宋简体" w:eastAsia="方正小标宋简体"/>
          <w:b/>
          <w:color w:val="000000"/>
          <w:kern w:val="0"/>
          <w:sz w:val="44"/>
          <w:szCs w:val="44"/>
        </w:rPr>
      </w:pPr>
      <w:r>
        <w:rPr>
          <w:rFonts w:ascii="方正小标宋简体" w:eastAsia="方正小标宋简体" w:hint="eastAsia"/>
          <w:b/>
          <w:color w:val="000000"/>
          <w:kern w:val="0"/>
          <w:sz w:val="44"/>
          <w:szCs w:val="44"/>
        </w:rPr>
        <w:t>项目支出绩效评价报告</w:t>
      </w:r>
    </w:p>
    <w:p w14:paraId="3C89A217" w14:textId="77777777" w:rsidR="0092080F" w:rsidRPr="0092080F" w:rsidRDefault="0092080F" w:rsidP="0092080F">
      <w:pPr>
        <w:snapToGrid w:val="0"/>
        <w:spacing w:line="500" w:lineRule="exact"/>
        <w:ind w:firstLineChars="200" w:firstLine="560"/>
        <w:rPr>
          <w:rFonts w:ascii="仿宋_GB2312" w:eastAsia="仿宋_GB2312" w:cs="仿宋"/>
          <w:b/>
          <w:bCs/>
          <w:kern w:val="0"/>
          <w:sz w:val="28"/>
          <w:szCs w:val="28"/>
        </w:rPr>
      </w:pPr>
      <w:r>
        <w:rPr>
          <w:rFonts w:ascii="仿宋_GB2312" w:eastAsia="仿宋_GB2312" w:cs="仿宋" w:hint="eastAsia"/>
          <w:sz w:val="28"/>
          <w:szCs w:val="28"/>
        </w:rPr>
        <w:t>为贯彻落实全面实施预算绩效管理工作要求，进一步加强财政支出项目绩效管理和追踪问效，提升财政资金配置效率、使用效益和政府公共服务管理水平，根据《关于全面实施预算绩效管理的实施意见》（冀发〔2018〕54号）和《秦皇岛市市级预算绩效重点评价管理办法》（秦财监〔2020〕138号）相关规定，受秦皇岛市财政局委托，卓越会计师河北事务所（普通合伙）以第三方社会评价机构身份，承担秦皇岛市外事和商务</w:t>
      </w:r>
      <w:r>
        <w:rPr>
          <w:rFonts w:ascii="仿宋_GB2312" w:eastAsia="仿宋_GB2312" w:cs="仿宋" w:hint="eastAsia"/>
          <w:color w:val="000000"/>
          <w:kern w:val="0"/>
          <w:sz w:val="28"/>
          <w:szCs w:val="28"/>
        </w:rPr>
        <w:t>局组织</w:t>
      </w:r>
      <w:r>
        <w:rPr>
          <w:rFonts w:ascii="仿宋_GB2312" w:eastAsia="仿宋_GB2312" w:cs="仿宋" w:hint="eastAsia"/>
          <w:sz w:val="28"/>
          <w:szCs w:val="28"/>
        </w:rPr>
        <w:t>实施的“2022年度开展消费促销活动经费”项目绩效评价工作。评价小组根据绩效评价工作方案开展本次评价工作，经过项目数据采集、访谈、社会调查等必要评价程序，运用绩效原理和统计方法，在梳理、分析评价数据资料基础上，形成本评价报告。</w:t>
      </w:r>
    </w:p>
    <w:p w14:paraId="071C21ED" w14:textId="77777777" w:rsidR="00AC6336" w:rsidRDefault="00607D1C">
      <w:pPr>
        <w:adjustRightInd w:val="0"/>
        <w:snapToGrid w:val="0"/>
        <w:spacing w:line="500" w:lineRule="exact"/>
        <w:ind w:firstLineChars="200" w:firstLine="562"/>
        <w:rPr>
          <w:rFonts w:ascii="仿宋_GB2312" w:eastAsia="仿宋_GB2312" w:cs="仿宋"/>
          <w:b/>
          <w:color w:val="000000"/>
          <w:kern w:val="0"/>
          <w:sz w:val="28"/>
          <w:szCs w:val="28"/>
        </w:rPr>
      </w:pPr>
      <w:r>
        <w:rPr>
          <w:rFonts w:ascii="仿宋_GB2312" w:eastAsia="仿宋_GB2312" w:cs="仿宋" w:hint="eastAsia"/>
          <w:b/>
          <w:color w:val="000000"/>
          <w:kern w:val="0"/>
          <w:sz w:val="28"/>
          <w:szCs w:val="28"/>
        </w:rPr>
        <w:t>一、项目概况</w:t>
      </w:r>
    </w:p>
    <w:p w14:paraId="5D4E4535" w14:textId="77777777" w:rsidR="00AC6336" w:rsidRDefault="00607D1C">
      <w:pPr>
        <w:adjustRightInd w:val="0"/>
        <w:snapToGrid w:val="0"/>
        <w:spacing w:line="500" w:lineRule="exact"/>
        <w:ind w:firstLineChars="200" w:firstLine="562"/>
        <w:rPr>
          <w:rFonts w:ascii="仿宋_GB2312" w:eastAsia="仿宋_GB2312" w:cs="仿宋"/>
          <w:b/>
          <w:bCs/>
          <w:color w:val="000000"/>
          <w:kern w:val="0"/>
          <w:sz w:val="28"/>
          <w:szCs w:val="28"/>
        </w:rPr>
      </w:pPr>
      <w:r>
        <w:rPr>
          <w:rFonts w:ascii="仿宋_GB2312" w:eastAsia="仿宋_GB2312" w:cs="仿宋" w:hint="eastAsia"/>
          <w:b/>
          <w:bCs/>
          <w:color w:val="000000"/>
          <w:kern w:val="0"/>
          <w:sz w:val="28"/>
          <w:szCs w:val="28"/>
        </w:rPr>
        <w:t>（一）立项背景</w:t>
      </w:r>
    </w:p>
    <w:p w14:paraId="1EC1E05E" w14:textId="77777777" w:rsidR="00AC6336" w:rsidRDefault="00607D1C">
      <w:p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t>为认真贯彻党中央“疫情要防住、经济要稳住、发展在安全”重要要求，2022年6月省政府出台了《扎实稳定全省经济运行的一揽子促进措施及配套政策的通知》，市委市政府对贯彻落实好中央及省文件精神十分重视，结合我市实际，制定了《关于稳定全市经济运行的若干政策措施》，细化了促消费稳增长的具体措施。秦皇岛市外事和商务局在认真学习领会省市有关文件基础上，参考省内其他地市促消费举措，积极与银行对接洽谈，按照“政府引导、金融助力、商家让利”的原则，</w:t>
      </w:r>
      <w:r>
        <w:rPr>
          <w:rFonts w:ascii="仿宋_GB2312" w:eastAsia="仿宋_GB2312" w:cs="仿宋" w:hint="eastAsia"/>
          <w:sz w:val="28"/>
          <w:szCs w:val="28"/>
        </w:rPr>
        <w:t>秦皇岛市外事和商务局制定了</w:t>
      </w:r>
      <w:r>
        <w:rPr>
          <w:rFonts w:ascii="仿宋_GB2312" w:eastAsia="仿宋_GB2312" w:cs="仿宋" w:hint="eastAsia"/>
          <w:color w:val="000000"/>
          <w:kern w:val="0"/>
          <w:sz w:val="28"/>
          <w:szCs w:val="28"/>
        </w:rPr>
        <w:t>《秦皇岛市消费券发放活动方案》，并</w:t>
      </w:r>
      <w:r>
        <w:rPr>
          <w:rFonts w:ascii="仿宋_GB2312" w:eastAsia="仿宋_GB2312" w:cs="仿宋" w:hint="eastAsia"/>
          <w:sz w:val="28"/>
          <w:szCs w:val="28"/>
        </w:rPr>
        <w:t>向市政府提交了关于申请消费券专项资金的请示，秦皇岛市人民政府办公室发布了《关于在全市开展消费促销活动的通知》。</w:t>
      </w:r>
    </w:p>
    <w:p w14:paraId="0EC92F06" w14:textId="77777777" w:rsidR="00AC6336" w:rsidRDefault="00607D1C">
      <w:pPr>
        <w:adjustRightInd w:val="0"/>
        <w:snapToGrid w:val="0"/>
        <w:spacing w:line="500" w:lineRule="exact"/>
        <w:ind w:firstLineChars="200" w:firstLine="562"/>
        <w:rPr>
          <w:rFonts w:ascii="仿宋_GB2312" w:eastAsia="仿宋_GB2312" w:cs="仿宋"/>
          <w:b/>
          <w:bCs/>
          <w:color w:val="000000"/>
          <w:kern w:val="0"/>
          <w:sz w:val="28"/>
          <w:szCs w:val="28"/>
        </w:rPr>
      </w:pPr>
      <w:r>
        <w:rPr>
          <w:rFonts w:ascii="仿宋_GB2312" w:eastAsia="仿宋_GB2312" w:cs="仿宋" w:hint="eastAsia"/>
          <w:b/>
          <w:bCs/>
          <w:color w:val="000000"/>
          <w:kern w:val="0"/>
          <w:sz w:val="28"/>
          <w:szCs w:val="28"/>
        </w:rPr>
        <w:t>（二）项目内容</w:t>
      </w:r>
    </w:p>
    <w:p w14:paraId="571DA77C" w14:textId="77777777" w:rsidR="00AC6336" w:rsidRDefault="00607D1C">
      <w:p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lastRenderedPageBreak/>
        <w:t>1、项目目标</w:t>
      </w:r>
    </w:p>
    <w:p w14:paraId="27AF23A1" w14:textId="77777777" w:rsidR="00AC6336" w:rsidRDefault="00607D1C">
      <w:p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t>开展消费促销活动经费的总体目标主要为：通过投放惠民消费券方式，提振消费信心，释放消费活力，拉动消费需求，撬动社会消费良性较快增长，实现“经济稳运行、企业享红利、百姓得实惠”的共赢局面。</w:t>
      </w:r>
    </w:p>
    <w:p w14:paraId="04F69A54" w14:textId="77777777" w:rsidR="00AC6336" w:rsidRDefault="00607D1C" w:rsidP="0092080F">
      <w:pPr>
        <w:numPr>
          <w:ilvl w:val="0"/>
          <w:numId w:val="1"/>
        </w:numPr>
        <w:snapToGrid w:val="0"/>
        <w:spacing w:line="500" w:lineRule="exact"/>
        <w:ind w:firstLineChars="196" w:firstLine="549"/>
        <w:rPr>
          <w:rFonts w:ascii="仿宋_GB2312" w:eastAsia="仿宋_GB2312" w:cs="仿宋"/>
          <w:color w:val="000000"/>
          <w:kern w:val="0"/>
          <w:sz w:val="28"/>
          <w:szCs w:val="28"/>
        </w:rPr>
      </w:pPr>
      <w:r>
        <w:rPr>
          <w:rFonts w:ascii="仿宋_GB2312" w:eastAsia="仿宋_GB2312" w:cs="仿宋" w:hint="eastAsia"/>
          <w:color w:val="000000"/>
          <w:kern w:val="0"/>
          <w:sz w:val="28"/>
          <w:szCs w:val="28"/>
        </w:rPr>
        <w:t>活动组织</w:t>
      </w:r>
    </w:p>
    <w:p w14:paraId="038B3CE5" w14:textId="77777777" w:rsidR="00AC6336" w:rsidRDefault="00607D1C">
      <w:p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t>秦皇岛市外事和商务局与中国建设银行股份有限公司秦皇岛分行签订了电子消费券发放合作协议，协议约定由市外事商务局确认参与活动的商户、用户范围等内容；建行秦皇岛分行负责提供技术运营服务，根据双方确定的营销规则进行系统参数的配置。发放对象为秦皇岛市民和外地在秦消费人员，各县区消费券使用范围只限于本地区参与活动的企业。</w:t>
      </w:r>
    </w:p>
    <w:p w14:paraId="0FABCF66" w14:textId="77777777" w:rsidR="00AC6336" w:rsidRDefault="00607D1C">
      <w:p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t>3、操作规程</w:t>
      </w:r>
    </w:p>
    <w:p w14:paraId="4D4023FE" w14:textId="77777777" w:rsidR="00AC6336" w:rsidRDefault="00607D1C">
      <w:p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t>各县区消费券通过建行生活APP平台各县区专区领取；在本次活动期间，每人可以分别领取不同种类消费券各一次；使用范围仅限在本县区内参与活动的企业中使用；每笔消费只能使用一张消费券（汽车类消费券每辆车只能使用一张），消费券可在商户优惠的基础上叠加使用，消费券自领取后5日内有效，过期消费券自动回归券池，可由其他消费者继续领取，所有活动企业共享同类消费券兑付，截至活动结束，未使用的消费券资金由政府和银行按照出资比例收回。</w:t>
      </w:r>
    </w:p>
    <w:p w14:paraId="30B199FF" w14:textId="77777777" w:rsidR="00AC6336" w:rsidRDefault="00607D1C">
      <w:p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t>4、资金筹集</w:t>
      </w:r>
    </w:p>
    <w:p w14:paraId="286D937F" w14:textId="77777777" w:rsidR="00AC6336" w:rsidRDefault="00607D1C">
      <w:pPr>
        <w:adjustRightInd w:val="0"/>
        <w:snapToGrid w:val="0"/>
        <w:spacing w:line="500" w:lineRule="exact"/>
        <w:ind w:firstLineChars="200" w:firstLine="560"/>
        <w:rPr>
          <w:rFonts w:ascii="仿宋" w:eastAsia="仿宋" w:cs="仿宋"/>
          <w:color w:val="000000"/>
          <w:kern w:val="0"/>
          <w:sz w:val="28"/>
          <w:szCs w:val="28"/>
        </w:rPr>
      </w:pPr>
      <w:r>
        <w:rPr>
          <w:rFonts w:ascii="仿宋_GB2312" w:eastAsia="仿宋_GB2312" w:cs="仿宋" w:hint="eastAsia"/>
          <w:color w:val="000000"/>
          <w:kern w:val="0"/>
          <w:sz w:val="28"/>
          <w:szCs w:val="28"/>
        </w:rPr>
        <w:t>以政府投资为引导，金融机构配套支持，商家开展促销让利，全市拟筹集1275万元以发放消费券形式投放市场，其中：政府资金1020万元，由各县区财政出资510万元，市财政按照1：1配套支持510万元，建行按照财政资金25%比例配套，各县区相关限上企业同步开展发放惠民消费券活动，由于新区退回86.47万元，建行按照25%比例减少21.6175万元，最终实际筹集资金1166.9125万元，具体情况如下表：</w:t>
      </w:r>
    </w:p>
    <w:tbl>
      <w:tblPr>
        <w:tblpPr w:leftFromText="180" w:rightFromText="180" w:vertAnchor="text" w:horzAnchor="page" w:tblpX="1577" w:tblpY="72"/>
        <w:tblOverlap w:val="neve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2"/>
        <w:gridCol w:w="2626"/>
        <w:gridCol w:w="2603"/>
      </w:tblGrid>
      <w:tr w:rsidR="00AC6336" w14:paraId="7D1945E6" w14:textId="77777777">
        <w:tc>
          <w:tcPr>
            <w:tcW w:w="8731" w:type="dxa"/>
            <w:gridSpan w:val="3"/>
            <w:tcBorders>
              <w:top w:val="nil"/>
              <w:left w:val="nil"/>
              <w:bottom w:val="single" w:sz="4" w:space="0" w:color="auto"/>
              <w:right w:val="nil"/>
              <w:tl2br w:val="nil"/>
              <w:tr2bl w:val="nil"/>
            </w:tcBorders>
            <w:vAlign w:val="center"/>
          </w:tcPr>
          <w:p w14:paraId="0EC02A09" w14:textId="77777777" w:rsidR="00AC6336" w:rsidRDefault="00607D1C">
            <w:pPr>
              <w:widowControl/>
              <w:spacing w:line="260" w:lineRule="exact"/>
              <w:ind w:left="-114" w:right="-105"/>
              <w:jc w:val="right"/>
              <w:textAlignment w:val="center"/>
              <w:rPr>
                <w:rFonts w:ascii="仿宋_GB2312" w:eastAsia="仿宋_GB2312" w:cs="仿宋"/>
                <w:b/>
                <w:bCs/>
                <w:color w:val="000000"/>
                <w:sz w:val="24"/>
              </w:rPr>
            </w:pPr>
            <w:r>
              <w:rPr>
                <w:rFonts w:ascii="仿宋_GB2312" w:eastAsia="仿宋_GB2312" w:cs="仿宋" w:hint="eastAsia"/>
                <w:color w:val="000000"/>
                <w:kern w:val="0"/>
                <w:sz w:val="24"/>
              </w:rPr>
              <w:t>单位：万元</w:t>
            </w:r>
          </w:p>
        </w:tc>
      </w:tr>
      <w:tr w:rsidR="00AC6336" w14:paraId="01E92C18" w14:textId="77777777">
        <w:tc>
          <w:tcPr>
            <w:tcW w:w="3502" w:type="dxa"/>
            <w:tcBorders>
              <w:top w:val="single" w:sz="4" w:space="0" w:color="auto"/>
              <w:left w:val="single" w:sz="4" w:space="0" w:color="auto"/>
              <w:bottom w:val="single" w:sz="4" w:space="0" w:color="auto"/>
              <w:right w:val="single" w:sz="4" w:space="0" w:color="auto"/>
              <w:tl2br w:val="nil"/>
              <w:tr2bl w:val="nil"/>
            </w:tcBorders>
            <w:vAlign w:val="center"/>
          </w:tcPr>
          <w:p w14:paraId="4D9B9652" w14:textId="77777777" w:rsidR="00AC6336" w:rsidRDefault="00607D1C">
            <w:pPr>
              <w:widowControl/>
              <w:spacing w:line="260" w:lineRule="exact"/>
              <w:jc w:val="center"/>
              <w:textAlignment w:val="center"/>
              <w:rPr>
                <w:rFonts w:ascii="仿宋_GB2312" w:eastAsia="仿宋_GB2312" w:cs="仿宋"/>
                <w:b/>
                <w:bCs/>
                <w:color w:val="000000"/>
                <w:sz w:val="24"/>
              </w:rPr>
            </w:pPr>
            <w:r>
              <w:rPr>
                <w:rFonts w:ascii="仿宋_GB2312" w:eastAsia="仿宋_GB2312" w:cs="仿宋" w:hint="eastAsia"/>
                <w:b/>
                <w:bCs/>
                <w:color w:val="000000"/>
                <w:sz w:val="24"/>
              </w:rPr>
              <w:t>资金到位情况</w:t>
            </w:r>
          </w:p>
        </w:tc>
        <w:tc>
          <w:tcPr>
            <w:tcW w:w="2626" w:type="dxa"/>
            <w:tcBorders>
              <w:top w:val="single" w:sz="4" w:space="0" w:color="auto"/>
              <w:left w:val="single" w:sz="4" w:space="0" w:color="auto"/>
              <w:bottom w:val="single" w:sz="4" w:space="0" w:color="auto"/>
              <w:right w:val="single" w:sz="4" w:space="0" w:color="auto"/>
              <w:tl2br w:val="nil"/>
              <w:tr2bl w:val="nil"/>
            </w:tcBorders>
            <w:vAlign w:val="center"/>
          </w:tcPr>
          <w:p w14:paraId="64E294BD" w14:textId="77777777" w:rsidR="00AC6336" w:rsidRDefault="00607D1C">
            <w:pPr>
              <w:widowControl/>
              <w:spacing w:line="260" w:lineRule="exact"/>
              <w:ind w:left="-113" w:right="-105"/>
              <w:jc w:val="center"/>
              <w:textAlignment w:val="center"/>
              <w:rPr>
                <w:rFonts w:ascii="仿宋_GB2312" w:eastAsia="仿宋_GB2312" w:cs="仿宋"/>
                <w:b/>
                <w:bCs/>
                <w:color w:val="000000"/>
                <w:sz w:val="24"/>
              </w:rPr>
            </w:pPr>
            <w:r>
              <w:rPr>
                <w:rFonts w:ascii="仿宋_GB2312" w:eastAsia="仿宋_GB2312" w:cs="仿宋" w:hint="eastAsia"/>
                <w:b/>
                <w:bCs/>
                <w:color w:val="000000"/>
                <w:kern w:val="0"/>
                <w:sz w:val="24"/>
              </w:rPr>
              <w:t>到位资金（调整前）</w:t>
            </w:r>
          </w:p>
        </w:tc>
        <w:tc>
          <w:tcPr>
            <w:tcW w:w="2603" w:type="dxa"/>
            <w:tcBorders>
              <w:top w:val="single" w:sz="4" w:space="0" w:color="auto"/>
              <w:left w:val="single" w:sz="4" w:space="0" w:color="auto"/>
              <w:bottom w:val="single" w:sz="4" w:space="0" w:color="auto"/>
              <w:right w:val="single" w:sz="4" w:space="0" w:color="auto"/>
              <w:tl2br w:val="nil"/>
              <w:tr2bl w:val="nil"/>
            </w:tcBorders>
            <w:vAlign w:val="center"/>
          </w:tcPr>
          <w:p w14:paraId="63710567" w14:textId="77777777" w:rsidR="00AC6336" w:rsidRDefault="00607D1C">
            <w:pPr>
              <w:widowControl/>
              <w:spacing w:line="260" w:lineRule="exact"/>
              <w:ind w:left="-114" w:right="-105"/>
              <w:jc w:val="center"/>
              <w:textAlignment w:val="center"/>
              <w:rPr>
                <w:rFonts w:ascii="仿宋_GB2312" w:eastAsia="仿宋_GB2312" w:cs="仿宋"/>
                <w:b/>
                <w:bCs/>
                <w:color w:val="000000"/>
                <w:sz w:val="24"/>
              </w:rPr>
            </w:pPr>
            <w:r>
              <w:rPr>
                <w:rFonts w:ascii="仿宋_GB2312" w:eastAsia="仿宋_GB2312" w:cs="仿宋" w:hint="eastAsia"/>
                <w:b/>
                <w:bCs/>
                <w:color w:val="000000"/>
                <w:kern w:val="0"/>
                <w:sz w:val="24"/>
              </w:rPr>
              <w:t>到位资金（调整后）</w:t>
            </w:r>
          </w:p>
        </w:tc>
      </w:tr>
      <w:tr w:rsidR="00AC6336" w14:paraId="3F6DFEB3" w14:textId="77777777">
        <w:trPr>
          <w:trHeight w:val="90"/>
        </w:trPr>
        <w:tc>
          <w:tcPr>
            <w:tcW w:w="3502" w:type="dxa"/>
            <w:tcBorders>
              <w:top w:val="single" w:sz="4" w:space="0" w:color="auto"/>
              <w:left w:val="single" w:sz="4" w:space="0" w:color="auto"/>
              <w:bottom w:val="single" w:sz="4" w:space="0" w:color="auto"/>
              <w:right w:val="single" w:sz="4" w:space="0" w:color="auto"/>
            </w:tcBorders>
            <w:vAlign w:val="center"/>
          </w:tcPr>
          <w:p w14:paraId="694D48DE" w14:textId="77777777" w:rsidR="00AC6336" w:rsidRDefault="00607D1C">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kern w:val="0"/>
                <w:sz w:val="24"/>
              </w:rPr>
              <w:t>1、市财政</w:t>
            </w:r>
          </w:p>
        </w:tc>
        <w:tc>
          <w:tcPr>
            <w:tcW w:w="2626" w:type="dxa"/>
            <w:tcBorders>
              <w:top w:val="single" w:sz="4" w:space="0" w:color="auto"/>
              <w:left w:val="single" w:sz="4" w:space="0" w:color="auto"/>
              <w:bottom w:val="single" w:sz="4" w:space="0" w:color="auto"/>
              <w:right w:val="single" w:sz="4" w:space="0" w:color="auto"/>
            </w:tcBorders>
            <w:vAlign w:val="center"/>
          </w:tcPr>
          <w:p w14:paraId="54F156AC"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510</w:t>
            </w:r>
          </w:p>
        </w:tc>
        <w:tc>
          <w:tcPr>
            <w:tcW w:w="2603" w:type="dxa"/>
            <w:tcBorders>
              <w:top w:val="single" w:sz="4" w:space="0" w:color="auto"/>
              <w:left w:val="single" w:sz="4" w:space="0" w:color="auto"/>
              <w:bottom w:val="single" w:sz="4" w:space="0" w:color="auto"/>
              <w:right w:val="single" w:sz="4" w:space="0" w:color="auto"/>
            </w:tcBorders>
            <w:vAlign w:val="center"/>
          </w:tcPr>
          <w:p w14:paraId="4996F626"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510</w:t>
            </w:r>
          </w:p>
        </w:tc>
      </w:tr>
      <w:tr w:rsidR="00AC6336" w14:paraId="67C397D5" w14:textId="77777777">
        <w:trPr>
          <w:trHeight w:val="109"/>
        </w:trPr>
        <w:tc>
          <w:tcPr>
            <w:tcW w:w="3502" w:type="dxa"/>
            <w:tcBorders>
              <w:top w:val="single" w:sz="4" w:space="0" w:color="auto"/>
              <w:left w:val="single" w:sz="4" w:space="0" w:color="auto"/>
              <w:bottom w:val="single" w:sz="4" w:space="0" w:color="auto"/>
              <w:right w:val="single" w:sz="4" w:space="0" w:color="auto"/>
            </w:tcBorders>
            <w:vAlign w:val="center"/>
          </w:tcPr>
          <w:p w14:paraId="79D0EC45" w14:textId="77777777" w:rsidR="00AC6336" w:rsidRDefault="00607D1C">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kern w:val="0"/>
                <w:sz w:val="24"/>
              </w:rPr>
              <w:t>2、海港区</w:t>
            </w:r>
          </w:p>
        </w:tc>
        <w:tc>
          <w:tcPr>
            <w:tcW w:w="2626" w:type="dxa"/>
            <w:tcBorders>
              <w:top w:val="single" w:sz="4" w:space="0" w:color="auto"/>
              <w:left w:val="single" w:sz="4" w:space="0" w:color="auto"/>
              <w:bottom w:val="single" w:sz="4" w:space="0" w:color="auto"/>
              <w:right w:val="single" w:sz="4" w:space="0" w:color="auto"/>
            </w:tcBorders>
            <w:vAlign w:val="center"/>
          </w:tcPr>
          <w:p w14:paraId="5F050BB3"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100</w:t>
            </w:r>
          </w:p>
        </w:tc>
        <w:tc>
          <w:tcPr>
            <w:tcW w:w="2603" w:type="dxa"/>
            <w:tcBorders>
              <w:top w:val="single" w:sz="4" w:space="0" w:color="auto"/>
              <w:left w:val="single" w:sz="4" w:space="0" w:color="auto"/>
              <w:bottom w:val="single" w:sz="4" w:space="0" w:color="auto"/>
              <w:right w:val="single" w:sz="4" w:space="0" w:color="auto"/>
            </w:tcBorders>
            <w:vAlign w:val="center"/>
          </w:tcPr>
          <w:p w14:paraId="5F9EBCF3"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100</w:t>
            </w:r>
          </w:p>
        </w:tc>
      </w:tr>
      <w:tr w:rsidR="00AC6336" w14:paraId="136FB033" w14:textId="77777777">
        <w:trPr>
          <w:trHeight w:val="109"/>
        </w:trPr>
        <w:tc>
          <w:tcPr>
            <w:tcW w:w="3502" w:type="dxa"/>
            <w:tcBorders>
              <w:top w:val="single" w:sz="4" w:space="0" w:color="auto"/>
              <w:left w:val="single" w:sz="4" w:space="0" w:color="auto"/>
              <w:bottom w:val="single" w:sz="4" w:space="0" w:color="auto"/>
              <w:right w:val="single" w:sz="4" w:space="0" w:color="auto"/>
            </w:tcBorders>
            <w:vAlign w:val="center"/>
          </w:tcPr>
          <w:p w14:paraId="55A4B340" w14:textId="77777777" w:rsidR="00AC6336" w:rsidRDefault="00607D1C">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kern w:val="0"/>
                <w:sz w:val="24"/>
              </w:rPr>
              <w:t>3、秦皇岛开发区</w:t>
            </w:r>
          </w:p>
        </w:tc>
        <w:tc>
          <w:tcPr>
            <w:tcW w:w="2626" w:type="dxa"/>
            <w:tcBorders>
              <w:top w:val="single" w:sz="4" w:space="0" w:color="auto"/>
              <w:left w:val="single" w:sz="4" w:space="0" w:color="auto"/>
              <w:bottom w:val="single" w:sz="4" w:space="0" w:color="auto"/>
              <w:right w:val="single" w:sz="4" w:space="0" w:color="auto"/>
            </w:tcBorders>
            <w:vAlign w:val="center"/>
          </w:tcPr>
          <w:p w14:paraId="2A7D752B"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100</w:t>
            </w:r>
          </w:p>
        </w:tc>
        <w:tc>
          <w:tcPr>
            <w:tcW w:w="2603" w:type="dxa"/>
            <w:tcBorders>
              <w:top w:val="single" w:sz="4" w:space="0" w:color="auto"/>
              <w:left w:val="single" w:sz="4" w:space="0" w:color="auto"/>
              <w:bottom w:val="single" w:sz="4" w:space="0" w:color="auto"/>
              <w:right w:val="single" w:sz="4" w:space="0" w:color="auto"/>
            </w:tcBorders>
            <w:vAlign w:val="center"/>
          </w:tcPr>
          <w:p w14:paraId="2A04C113"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100</w:t>
            </w:r>
          </w:p>
        </w:tc>
      </w:tr>
      <w:tr w:rsidR="00AC6336" w14:paraId="3B702C8B" w14:textId="77777777">
        <w:trPr>
          <w:trHeight w:val="110"/>
        </w:trPr>
        <w:tc>
          <w:tcPr>
            <w:tcW w:w="3502" w:type="dxa"/>
            <w:tcBorders>
              <w:top w:val="single" w:sz="4" w:space="0" w:color="auto"/>
              <w:left w:val="single" w:sz="4" w:space="0" w:color="auto"/>
              <w:bottom w:val="single" w:sz="4" w:space="0" w:color="auto"/>
              <w:right w:val="single" w:sz="4" w:space="0" w:color="auto"/>
            </w:tcBorders>
            <w:vAlign w:val="center"/>
          </w:tcPr>
          <w:p w14:paraId="3EC75424" w14:textId="77777777" w:rsidR="00AC6336" w:rsidRDefault="00607D1C">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sz w:val="24"/>
              </w:rPr>
              <w:lastRenderedPageBreak/>
              <w:t>4</w:t>
            </w:r>
            <w:r>
              <w:rPr>
                <w:rFonts w:ascii="仿宋_GB2312" w:eastAsia="仿宋_GB2312" w:cs="仿宋" w:hint="eastAsia"/>
                <w:color w:val="000000"/>
                <w:kern w:val="0"/>
                <w:sz w:val="24"/>
              </w:rPr>
              <w:t>、北戴河新区</w:t>
            </w:r>
          </w:p>
        </w:tc>
        <w:tc>
          <w:tcPr>
            <w:tcW w:w="2626" w:type="dxa"/>
            <w:tcBorders>
              <w:top w:val="single" w:sz="4" w:space="0" w:color="auto"/>
              <w:left w:val="single" w:sz="4" w:space="0" w:color="auto"/>
              <w:bottom w:val="single" w:sz="4" w:space="0" w:color="auto"/>
              <w:right w:val="single" w:sz="4" w:space="0" w:color="auto"/>
            </w:tcBorders>
            <w:vAlign w:val="center"/>
          </w:tcPr>
          <w:p w14:paraId="7FF3CB15"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100</w:t>
            </w:r>
          </w:p>
        </w:tc>
        <w:tc>
          <w:tcPr>
            <w:tcW w:w="2603" w:type="dxa"/>
            <w:tcBorders>
              <w:top w:val="single" w:sz="4" w:space="0" w:color="auto"/>
              <w:left w:val="single" w:sz="4" w:space="0" w:color="auto"/>
              <w:bottom w:val="single" w:sz="4" w:space="0" w:color="auto"/>
              <w:right w:val="single" w:sz="4" w:space="0" w:color="auto"/>
            </w:tcBorders>
            <w:vAlign w:val="center"/>
          </w:tcPr>
          <w:p w14:paraId="46C2D4F2"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13.53</w:t>
            </w:r>
          </w:p>
        </w:tc>
      </w:tr>
      <w:tr w:rsidR="00AC6336" w14:paraId="2F8DA967" w14:textId="77777777">
        <w:trPr>
          <w:trHeight w:val="109"/>
        </w:trPr>
        <w:tc>
          <w:tcPr>
            <w:tcW w:w="3502" w:type="dxa"/>
            <w:tcBorders>
              <w:top w:val="single" w:sz="4" w:space="0" w:color="auto"/>
              <w:left w:val="single" w:sz="4" w:space="0" w:color="auto"/>
              <w:bottom w:val="single" w:sz="4" w:space="0" w:color="auto"/>
              <w:right w:val="single" w:sz="4" w:space="0" w:color="auto"/>
            </w:tcBorders>
            <w:vAlign w:val="center"/>
          </w:tcPr>
          <w:p w14:paraId="5969A829" w14:textId="77777777" w:rsidR="00AC6336" w:rsidRDefault="00607D1C">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sz w:val="24"/>
              </w:rPr>
              <w:t>5、</w:t>
            </w:r>
            <w:r>
              <w:rPr>
                <w:rFonts w:ascii="仿宋_GB2312" w:eastAsia="仿宋_GB2312" w:cs="仿宋" w:hint="eastAsia"/>
                <w:color w:val="000000"/>
                <w:kern w:val="0"/>
                <w:sz w:val="24"/>
              </w:rPr>
              <w:t>昌黎县</w:t>
            </w:r>
          </w:p>
        </w:tc>
        <w:tc>
          <w:tcPr>
            <w:tcW w:w="2626" w:type="dxa"/>
            <w:tcBorders>
              <w:top w:val="single" w:sz="4" w:space="0" w:color="auto"/>
              <w:left w:val="single" w:sz="4" w:space="0" w:color="auto"/>
              <w:bottom w:val="single" w:sz="4" w:space="0" w:color="auto"/>
              <w:right w:val="single" w:sz="4" w:space="0" w:color="auto"/>
            </w:tcBorders>
            <w:vAlign w:val="center"/>
          </w:tcPr>
          <w:p w14:paraId="45651AAA"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50</w:t>
            </w:r>
          </w:p>
        </w:tc>
        <w:tc>
          <w:tcPr>
            <w:tcW w:w="2603" w:type="dxa"/>
            <w:tcBorders>
              <w:top w:val="single" w:sz="4" w:space="0" w:color="auto"/>
              <w:left w:val="single" w:sz="4" w:space="0" w:color="auto"/>
              <w:bottom w:val="single" w:sz="4" w:space="0" w:color="auto"/>
              <w:right w:val="single" w:sz="4" w:space="0" w:color="auto"/>
            </w:tcBorders>
            <w:vAlign w:val="center"/>
          </w:tcPr>
          <w:p w14:paraId="52BCC991"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50</w:t>
            </w:r>
          </w:p>
        </w:tc>
      </w:tr>
      <w:tr w:rsidR="00AC6336" w14:paraId="3B6519B1" w14:textId="77777777">
        <w:trPr>
          <w:trHeight w:val="109"/>
        </w:trPr>
        <w:tc>
          <w:tcPr>
            <w:tcW w:w="3502" w:type="dxa"/>
            <w:tcBorders>
              <w:top w:val="single" w:sz="4" w:space="0" w:color="auto"/>
              <w:left w:val="single" w:sz="4" w:space="0" w:color="auto"/>
              <w:bottom w:val="single" w:sz="4" w:space="0" w:color="auto"/>
              <w:right w:val="single" w:sz="4" w:space="0" w:color="auto"/>
            </w:tcBorders>
            <w:vAlign w:val="center"/>
          </w:tcPr>
          <w:p w14:paraId="68A89335" w14:textId="77777777" w:rsidR="00AC6336" w:rsidRDefault="00607D1C">
            <w:pPr>
              <w:widowControl/>
              <w:spacing w:line="260" w:lineRule="exact"/>
              <w:jc w:val="left"/>
              <w:textAlignment w:val="center"/>
              <w:rPr>
                <w:rFonts w:ascii="仿宋_GB2312" w:eastAsia="仿宋_GB2312" w:cs="仿宋"/>
                <w:color w:val="000000"/>
                <w:sz w:val="24"/>
              </w:rPr>
            </w:pPr>
            <w:r>
              <w:rPr>
                <w:rFonts w:ascii="仿宋_GB2312" w:eastAsia="仿宋_GB2312" w:cs="仿宋" w:hint="eastAsia"/>
                <w:color w:val="000000"/>
                <w:kern w:val="0"/>
                <w:sz w:val="24"/>
              </w:rPr>
              <w:t>6、卢龙县</w:t>
            </w:r>
          </w:p>
        </w:tc>
        <w:tc>
          <w:tcPr>
            <w:tcW w:w="2626" w:type="dxa"/>
            <w:tcBorders>
              <w:top w:val="single" w:sz="4" w:space="0" w:color="auto"/>
              <w:left w:val="single" w:sz="4" w:space="0" w:color="auto"/>
              <w:bottom w:val="single" w:sz="4" w:space="0" w:color="auto"/>
              <w:right w:val="single" w:sz="4" w:space="0" w:color="auto"/>
            </w:tcBorders>
            <w:vAlign w:val="center"/>
          </w:tcPr>
          <w:p w14:paraId="26243A56"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30</w:t>
            </w:r>
          </w:p>
        </w:tc>
        <w:tc>
          <w:tcPr>
            <w:tcW w:w="2603" w:type="dxa"/>
            <w:tcBorders>
              <w:top w:val="single" w:sz="4" w:space="0" w:color="auto"/>
              <w:left w:val="single" w:sz="4" w:space="0" w:color="auto"/>
              <w:bottom w:val="single" w:sz="4" w:space="0" w:color="auto"/>
              <w:right w:val="single" w:sz="4" w:space="0" w:color="auto"/>
            </w:tcBorders>
            <w:vAlign w:val="center"/>
          </w:tcPr>
          <w:p w14:paraId="56DEC62A"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30</w:t>
            </w:r>
          </w:p>
        </w:tc>
      </w:tr>
      <w:tr w:rsidR="00AC6336" w14:paraId="5771FD94" w14:textId="77777777">
        <w:trPr>
          <w:trHeight w:val="109"/>
        </w:trPr>
        <w:tc>
          <w:tcPr>
            <w:tcW w:w="3502" w:type="dxa"/>
            <w:tcBorders>
              <w:top w:val="single" w:sz="4" w:space="0" w:color="auto"/>
              <w:left w:val="single" w:sz="4" w:space="0" w:color="auto"/>
              <w:bottom w:val="single" w:sz="4" w:space="0" w:color="auto"/>
              <w:right w:val="single" w:sz="4" w:space="0" w:color="auto"/>
            </w:tcBorders>
            <w:vAlign w:val="center"/>
          </w:tcPr>
          <w:p w14:paraId="30976C60" w14:textId="77777777" w:rsidR="00AC6336" w:rsidRDefault="00607D1C">
            <w:pPr>
              <w:widowControl/>
              <w:spacing w:line="260" w:lineRule="exact"/>
              <w:jc w:val="left"/>
              <w:textAlignment w:val="center"/>
              <w:rPr>
                <w:rFonts w:ascii="仿宋_GB2312" w:eastAsia="仿宋_GB2312" w:cs="仿宋"/>
                <w:color w:val="000000"/>
                <w:kern w:val="0"/>
                <w:sz w:val="24"/>
              </w:rPr>
            </w:pPr>
            <w:r>
              <w:rPr>
                <w:rFonts w:ascii="仿宋_GB2312" w:eastAsia="仿宋_GB2312" w:cs="仿宋" w:hint="eastAsia"/>
                <w:color w:val="000000"/>
                <w:kern w:val="0"/>
                <w:sz w:val="24"/>
              </w:rPr>
              <w:t>7、北戴河区</w:t>
            </w:r>
          </w:p>
        </w:tc>
        <w:tc>
          <w:tcPr>
            <w:tcW w:w="2626" w:type="dxa"/>
            <w:tcBorders>
              <w:top w:val="single" w:sz="4" w:space="0" w:color="auto"/>
              <w:left w:val="single" w:sz="4" w:space="0" w:color="auto"/>
              <w:bottom w:val="single" w:sz="4" w:space="0" w:color="auto"/>
              <w:right w:val="single" w:sz="4" w:space="0" w:color="auto"/>
            </w:tcBorders>
            <w:vAlign w:val="center"/>
          </w:tcPr>
          <w:p w14:paraId="3C2566E2"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40</w:t>
            </w:r>
          </w:p>
        </w:tc>
        <w:tc>
          <w:tcPr>
            <w:tcW w:w="2603" w:type="dxa"/>
            <w:tcBorders>
              <w:top w:val="single" w:sz="4" w:space="0" w:color="auto"/>
              <w:left w:val="single" w:sz="4" w:space="0" w:color="auto"/>
              <w:bottom w:val="single" w:sz="4" w:space="0" w:color="auto"/>
              <w:right w:val="single" w:sz="4" w:space="0" w:color="auto"/>
            </w:tcBorders>
            <w:vAlign w:val="center"/>
          </w:tcPr>
          <w:p w14:paraId="01E8B4F0"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40</w:t>
            </w:r>
          </w:p>
        </w:tc>
      </w:tr>
      <w:tr w:rsidR="00AC6336" w14:paraId="59C9D9CA" w14:textId="77777777">
        <w:trPr>
          <w:trHeight w:val="109"/>
        </w:trPr>
        <w:tc>
          <w:tcPr>
            <w:tcW w:w="3502" w:type="dxa"/>
            <w:tcBorders>
              <w:top w:val="single" w:sz="4" w:space="0" w:color="auto"/>
              <w:left w:val="single" w:sz="4" w:space="0" w:color="auto"/>
              <w:bottom w:val="single" w:sz="4" w:space="0" w:color="auto"/>
              <w:right w:val="single" w:sz="4" w:space="0" w:color="auto"/>
            </w:tcBorders>
            <w:vAlign w:val="center"/>
          </w:tcPr>
          <w:p w14:paraId="4B19FEEB" w14:textId="77777777" w:rsidR="00AC6336" w:rsidRDefault="00607D1C">
            <w:pPr>
              <w:widowControl/>
              <w:spacing w:line="260" w:lineRule="exact"/>
              <w:jc w:val="left"/>
              <w:textAlignment w:val="center"/>
              <w:rPr>
                <w:rFonts w:ascii="仿宋_GB2312" w:eastAsia="仿宋_GB2312" w:cs="仿宋"/>
                <w:color w:val="000000"/>
                <w:kern w:val="0"/>
                <w:sz w:val="24"/>
              </w:rPr>
            </w:pPr>
            <w:r>
              <w:rPr>
                <w:rFonts w:ascii="仿宋_GB2312" w:eastAsia="仿宋_GB2312" w:cs="仿宋" w:hint="eastAsia"/>
                <w:color w:val="000000"/>
                <w:kern w:val="0"/>
                <w:sz w:val="24"/>
              </w:rPr>
              <w:t>8、山海关区</w:t>
            </w:r>
          </w:p>
        </w:tc>
        <w:tc>
          <w:tcPr>
            <w:tcW w:w="2626" w:type="dxa"/>
            <w:tcBorders>
              <w:top w:val="single" w:sz="4" w:space="0" w:color="auto"/>
              <w:left w:val="single" w:sz="4" w:space="0" w:color="auto"/>
              <w:bottom w:val="single" w:sz="4" w:space="0" w:color="auto"/>
              <w:right w:val="single" w:sz="4" w:space="0" w:color="auto"/>
            </w:tcBorders>
            <w:vAlign w:val="center"/>
          </w:tcPr>
          <w:p w14:paraId="3F555A48"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30</w:t>
            </w:r>
          </w:p>
        </w:tc>
        <w:tc>
          <w:tcPr>
            <w:tcW w:w="2603" w:type="dxa"/>
            <w:tcBorders>
              <w:top w:val="single" w:sz="4" w:space="0" w:color="auto"/>
              <w:left w:val="single" w:sz="4" w:space="0" w:color="auto"/>
              <w:bottom w:val="single" w:sz="4" w:space="0" w:color="auto"/>
              <w:right w:val="single" w:sz="4" w:space="0" w:color="auto"/>
            </w:tcBorders>
            <w:vAlign w:val="center"/>
          </w:tcPr>
          <w:p w14:paraId="48755EFD"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30</w:t>
            </w:r>
          </w:p>
        </w:tc>
      </w:tr>
      <w:tr w:rsidR="00AC6336" w14:paraId="3F6532DA" w14:textId="77777777">
        <w:trPr>
          <w:trHeight w:val="109"/>
        </w:trPr>
        <w:tc>
          <w:tcPr>
            <w:tcW w:w="3502" w:type="dxa"/>
            <w:tcBorders>
              <w:top w:val="single" w:sz="4" w:space="0" w:color="auto"/>
              <w:left w:val="single" w:sz="4" w:space="0" w:color="auto"/>
              <w:bottom w:val="single" w:sz="4" w:space="0" w:color="auto"/>
              <w:right w:val="single" w:sz="4" w:space="0" w:color="auto"/>
            </w:tcBorders>
            <w:vAlign w:val="center"/>
          </w:tcPr>
          <w:p w14:paraId="2FB4F7F8" w14:textId="77777777" w:rsidR="00AC6336" w:rsidRDefault="00607D1C">
            <w:pPr>
              <w:widowControl/>
              <w:spacing w:line="260" w:lineRule="exact"/>
              <w:jc w:val="left"/>
              <w:textAlignment w:val="center"/>
              <w:rPr>
                <w:rFonts w:ascii="仿宋_GB2312" w:eastAsia="仿宋_GB2312" w:cs="仿宋"/>
                <w:color w:val="000000"/>
                <w:kern w:val="0"/>
                <w:sz w:val="24"/>
              </w:rPr>
            </w:pPr>
            <w:r>
              <w:rPr>
                <w:rFonts w:ascii="仿宋_GB2312" w:eastAsia="仿宋_GB2312" w:cs="仿宋" w:hint="eastAsia"/>
                <w:color w:val="000000"/>
                <w:kern w:val="0"/>
                <w:sz w:val="24"/>
              </w:rPr>
              <w:t>9、抚宁区</w:t>
            </w:r>
          </w:p>
        </w:tc>
        <w:tc>
          <w:tcPr>
            <w:tcW w:w="2626" w:type="dxa"/>
            <w:tcBorders>
              <w:top w:val="single" w:sz="4" w:space="0" w:color="auto"/>
              <w:left w:val="single" w:sz="4" w:space="0" w:color="auto"/>
              <w:bottom w:val="single" w:sz="4" w:space="0" w:color="auto"/>
              <w:right w:val="single" w:sz="4" w:space="0" w:color="auto"/>
            </w:tcBorders>
            <w:vAlign w:val="center"/>
          </w:tcPr>
          <w:p w14:paraId="4C99B9EA"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30</w:t>
            </w:r>
          </w:p>
        </w:tc>
        <w:tc>
          <w:tcPr>
            <w:tcW w:w="2603" w:type="dxa"/>
            <w:tcBorders>
              <w:top w:val="single" w:sz="4" w:space="0" w:color="auto"/>
              <w:left w:val="single" w:sz="4" w:space="0" w:color="auto"/>
              <w:bottom w:val="single" w:sz="4" w:space="0" w:color="auto"/>
              <w:right w:val="single" w:sz="4" w:space="0" w:color="auto"/>
            </w:tcBorders>
            <w:vAlign w:val="center"/>
          </w:tcPr>
          <w:p w14:paraId="407E1129"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30</w:t>
            </w:r>
          </w:p>
        </w:tc>
      </w:tr>
      <w:tr w:rsidR="00AC6336" w14:paraId="01B5933E" w14:textId="77777777">
        <w:trPr>
          <w:trHeight w:val="109"/>
        </w:trPr>
        <w:tc>
          <w:tcPr>
            <w:tcW w:w="3502" w:type="dxa"/>
            <w:tcBorders>
              <w:top w:val="single" w:sz="4" w:space="0" w:color="auto"/>
              <w:left w:val="single" w:sz="4" w:space="0" w:color="auto"/>
              <w:bottom w:val="single" w:sz="4" w:space="0" w:color="auto"/>
              <w:right w:val="single" w:sz="4" w:space="0" w:color="auto"/>
            </w:tcBorders>
            <w:vAlign w:val="center"/>
          </w:tcPr>
          <w:p w14:paraId="285CB0AF" w14:textId="77777777" w:rsidR="00AC6336" w:rsidRDefault="00607D1C">
            <w:pPr>
              <w:widowControl/>
              <w:spacing w:line="260" w:lineRule="exact"/>
              <w:jc w:val="left"/>
              <w:textAlignment w:val="center"/>
              <w:rPr>
                <w:rFonts w:ascii="仿宋_GB2312" w:eastAsia="仿宋_GB2312" w:cs="仿宋"/>
                <w:color w:val="000000"/>
                <w:kern w:val="0"/>
                <w:sz w:val="24"/>
              </w:rPr>
            </w:pPr>
            <w:r>
              <w:rPr>
                <w:rFonts w:ascii="仿宋_GB2312" w:eastAsia="仿宋_GB2312" w:cs="仿宋" w:hint="eastAsia"/>
                <w:color w:val="000000"/>
                <w:kern w:val="0"/>
                <w:sz w:val="24"/>
              </w:rPr>
              <w:t>10、青龙满族自治县</w:t>
            </w:r>
          </w:p>
        </w:tc>
        <w:tc>
          <w:tcPr>
            <w:tcW w:w="2626" w:type="dxa"/>
            <w:tcBorders>
              <w:top w:val="single" w:sz="4" w:space="0" w:color="auto"/>
              <w:left w:val="single" w:sz="4" w:space="0" w:color="auto"/>
              <w:bottom w:val="single" w:sz="4" w:space="0" w:color="auto"/>
              <w:right w:val="single" w:sz="4" w:space="0" w:color="auto"/>
            </w:tcBorders>
            <w:vAlign w:val="center"/>
          </w:tcPr>
          <w:p w14:paraId="06F2FB1A"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30</w:t>
            </w:r>
          </w:p>
        </w:tc>
        <w:tc>
          <w:tcPr>
            <w:tcW w:w="2603" w:type="dxa"/>
            <w:tcBorders>
              <w:top w:val="single" w:sz="4" w:space="0" w:color="auto"/>
              <w:left w:val="single" w:sz="4" w:space="0" w:color="auto"/>
              <w:bottom w:val="single" w:sz="4" w:space="0" w:color="auto"/>
              <w:right w:val="single" w:sz="4" w:space="0" w:color="auto"/>
            </w:tcBorders>
            <w:vAlign w:val="center"/>
          </w:tcPr>
          <w:p w14:paraId="3297B989"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30</w:t>
            </w:r>
          </w:p>
        </w:tc>
      </w:tr>
      <w:tr w:rsidR="00AC6336" w14:paraId="2FD9A4C0" w14:textId="77777777">
        <w:trPr>
          <w:trHeight w:val="109"/>
        </w:trPr>
        <w:tc>
          <w:tcPr>
            <w:tcW w:w="3502" w:type="dxa"/>
            <w:tcBorders>
              <w:top w:val="single" w:sz="4" w:space="0" w:color="auto"/>
              <w:left w:val="single" w:sz="4" w:space="0" w:color="auto"/>
              <w:bottom w:val="single" w:sz="4" w:space="0" w:color="auto"/>
              <w:right w:val="single" w:sz="4" w:space="0" w:color="auto"/>
            </w:tcBorders>
            <w:vAlign w:val="center"/>
          </w:tcPr>
          <w:p w14:paraId="2DDE562A" w14:textId="77777777" w:rsidR="00AC6336" w:rsidRDefault="00607D1C">
            <w:pPr>
              <w:widowControl/>
              <w:spacing w:line="260" w:lineRule="exact"/>
              <w:textAlignment w:val="center"/>
              <w:rPr>
                <w:rFonts w:ascii="仿宋_GB2312" w:eastAsia="仿宋_GB2312" w:cs="仿宋"/>
                <w:b/>
                <w:bCs/>
                <w:color w:val="000000"/>
                <w:kern w:val="0"/>
                <w:sz w:val="24"/>
              </w:rPr>
            </w:pPr>
            <w:r>
              <w:rPr>
                <w:rFonts w:ascii="仿宋_GB2312" w:eastAsia="仿宋_GB2312" w:cs="仿宋" w:hint="eastAsia"/>
                <w:color w:val="000000"/>
                <w:kern w:val="0"/>
                <w:sz w:val="24"/>
              </w:rPr>
              <w:t>11、建设银行秦皇岛分行</w:t>
            </w:r>
          </w:p>
        </w:tc>
        <w:tc>
          <w:tcPr>
            <w:tcW w:w="2626" w:type="dxa"/>
            <w:tcBorders>
              <w:top w:val="single" w:sz="4" w:space="0" w:color="auto"/>
              <w:left w:val="single" w:sz="4" w:space="0" w:color="auto"/>
              <w:bottom w:val="single" w:sz="4" w:space="0" w:color="auto"/>
              <w:right w:val="single" w:sz="4" w:space="0" w:color="auto"/>
            </w:tcBorders>
            <w:vAlign w:val="center"/>
          </w:tcPr>
          <w:p w14:paraId="459C5C48"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255</w:t>
            </w:r>
          </w:p>
        </w:tc>
        <w:tc>
          <w:tcPr>
            <w:tcW w:w="2603" w:type="dxa"/>
            <w:tcBorders>
              <w:top w:val="single" w:sz="4" w:space="0" w:color="auto"/>
              <w:left w:val="single" w:sz="4" w:space="0" w:color="auto"/>
              <w:bottom w:val="single" w:sz="4" w:space="0" w:color="auto"/>
              <w:right w:val="single" w:sz="4" w:space="0" w:color="auto"/>
            </w:tcBorders>
            <w:vAlign w:val="center"/>
          </w:tcPr>
          <w:p w14:paraId="1A8D0A87" w14:textId="77777777" w:rsidR="00AC6336" w:rsidRDefault="00607D1C">
            <w:pPr>
              <w:widowControl/>
              <w:spacing w:line="260" w:lineRule="exact"/>
              <w:jc w:val="center"/>
              <w:textAlignment w:val="center"/>
              <w:rPr>
                <w:rFonts w:ascii="仿宋_GB2312" w:eastAsia="仿宋_GB2312" w:cs="仿宋"/>
                <w:color w:val="000000"/>
                <w:sz w:val="24"/>
              </w:rPr>
            </w:pPr>
            <w:r>
              <w:rPr>
                <w:rFonts w:ascii="仿宋_GB2312" w:eastAsia="仿宋_GB2312" w:cs="仿宋" w:hint="eastAsia"/>
                <w:color w:val="000000"/>
                <w:sz w:val="24"/>
              </w:rPr>
              <w:t>233.3825</w:t>
            </w:r>
          </w:p>
        </w:tc>
      </w:tr>
      <w:tr w:rsidR="00AC6336" w14:paraId="02DBF3EA" w14:textId="77777777">
        <w:trPr>
          <w:trHeight w:val="100"/>
        </w:trPr>
        <w:tc>
          <w:tcPr>
            <w:tcW w:w="3502" w:type="dxa"/>
            <w:tcBorders>
              <w:top w:val="single" w:sz="4" w:space="0" w:color="auto"/>
              <w:left w:val="single" w:sz="4" w:space="0" w:color="auto"/>
              <w:bottom w:val="single" w:sz="4" w:space="0" w:color="auto"/>
              <w:right w:val="single" w:sz="4" w:space="0" w:color="auto"/>
            </w:tcBorders>
            <w:vAlign w:val="center"/>
          </w:tcPr>
          <w:p w14:paraId="4B922D12" w14:textId="77777777" w:rsidR="00AC6336" w:rsidRDefault="00607D1C">
            <w:pPr>
              <w:widowControl/>
              <w:spacing w:line="260" w:lineRule="exact"/>
              <w:jc w:val="center"/>
              <w:textAlignment w:val="center"/>
              <w:rPr>
                <w:rFonts w:ascii="仿宋_GB2312" w:eastAsia="仿宋_GB2312" w:cs="仿宋"/>
                <w:b/>
                <w:bCs/>
                <w:color w:val="000000"/>
                <w:sz w:val="24"/>
              </w:rPr>
            </w:pPr>
            <w:r>
              <w:rPr>
                <w:rFonts w:ascii="仿宋_GB2312" w:eastAsia="仿宋_GB2312" w:cs="仿宋" w:hint="eastAsia"/>
                <w:b/>
                <w:bCs/>
                <w:color w:val="000000"/>
                <w:kern w:val="0"/>
                <w:sz w:val="24"/>
              </w:rPr>
              <w:t>总</w:t>
            </w:r>
            <w:r>
              <w:rPr>
                <w:rFonts w:ascii="仿宋_GB2312" w:eastAsia="仿宋_GB2312" w:cs="仿宋"/>
                <w:b/>
                <w:bCs/>
                <w:color w:val="000000"/>
                <w:kern w:val="0"/>
                <w:sz w:val="24"/>
              </w:rPr>
              <w:t xml:space="preserve">  </w:t>
            </w:r>
            <w:r>
              <w:rPr>
                <w:rFonts w:ascii="仿宋_GB2312" w:eastAsia="仿宋_GB2312" w:cs="仿宋" w:hint="eastAsia"/>
                <w:b/>
                <w:bCs/>
                <w:color w:val="000000"/>
                <w:kern w:val="0"/>
                <w:sz w:val="24"/>
              </w:rPr>
              <w:t>计</w:t>
            </w:r>
          </w:p>
        </w:tc>
        <w:tc>
          <w:tcPr>
            <w:tcW w:w="2626" w:type="dxa"/>
            <w:tcBorders>
              <w:top w:val="single" w:sz="4" w:space="0" w:color="auto"/>
              <w:left w:val="single" w:sz="4" w:space="0" w:color="auto"/>
              <w:bottom w:val="single" w:sz="4" w:space="0" w:color="auto"/>
              <w:right w:val="single" w:sz="4" w:space="0" w:color="auto"/>
            </w:tcBorders>
            <w:vAlign w:val="center"/>
          </w:tcPr>
          <w:p w14:paraId="41D7E4C7" w14:textId="77777777" w:rsidR="00AC6336" w:rsidRDefault="00607D1C">
            <w:pPr>
              <w:widowControl/>
              <w:spacing w:line="260" w:lineRule="exact"/>
              <w:jc w:val="center"/>
              <w:textAlignment w:val="center"/>
              <w:rPr>
                <w:rFonts w:ascii="仿宋_GB2312" w:eastAsia="仿宋_GB2312" w:cs="仿宋"/>
                <w:b/>
                <w:bCs/>
                <w:color w:val="000000"/>
                <w:sz w:val="24"/>
              </w:rPr>
            </w:pPr>
            <w:r>
              <w:rPr>
                <w:rFonts w:ascii="仿宋_GB2312" w:eastAsia="仿宋_GB2312" w:cs="仿宋" w:hint="eastAsia"/>
                <w:b/>
                <w:bCs/>
                <w:color w:val="000000"/>
                <w:sz w:val="24"/>
              </w:rPr>
              <w:t>1275</w:t>
            </w:r>
          </w:p>
        </w:tc>
        <w:tc>
          <w:tcPr>
            <w:tcW w:w="2603" w:type="dxa"/>
            <w:tcBorders>
              <w:top w:val="single" w:sz="4" w:space="0" w:color="auto"/>
              <w:left w:val="single" w:sz="4" w:space="0" w:color="auto"/>
              <w:bottom w:val="single" w:sz="4" w:space="0" w:color="auto"/>
              <w:right w:val="single" w:sz="4" w:space="0" w:color="auto"/>
            </w:tcBorders>
            <w:vAlign w:val="center"/>
          </w:tcPr>
          <w:p w14:paraId="12708CF3" w14:textId="77777777" w:rsidR="00AC6336" w:rsidRDefault="00607D1C">
            <w:pPr>
              <w:widowControl/>
              <w:spacing w:line="260" w:lineRule="exact"/>
              <w:jc w:val="center"/>
              <w:textAlignment w:val="center"/>
              <w:rPr>
                <w:rFonts w:ascii="仿宋_GB2312" w:eastAsia="仿宋_GB2312" w:cs="仿宋"/>
                <w:b/>
                <w:bCs/>
                <w:color w:val="000000"/>
                <w:sz w:val="24"/>
              </w:rPr>
            </w:pPr>
            <w:r>
              <w:rPr>
                <w:rFonts w:ascii="仿宋_GB2312" w:eastAsia="仿宋_GB2312" w:cs="仿宋" w:hint="eastAsia"/>
                <w:b/>
                <w:bCs/>
                <w:color w:val="000000"/>
                <w:sz w:val="24"/>
              </w:rPr>
              <w:t>1166.9125</w:t>
            </w:r>
          </w:p>
        </w:tc>
      </w:tr>
    </w:tbl>
    <w:p w14:paraId="4B28FCDF" w14:textId="77777777" w:rsidR="00AC6336" w:rsidRDefault="00607D1C">
      <w:pPr>
        <w:adjustRightInd w:val="0"/>
        <w:snapToGrid w:val="0"/>
        <w:spacing w:line="500" w:lineRule="exact"/>
        <w:ind w:firstLineChars="200" w:firstLine="562"/>
        <w:rPr>
          <w:rFonts w:ascii="仿宋_GB2312" w:eastAsia="仿宋_GB2312" w:cs="仿宋"/>
          <w:b/>
          <w:bCs/>
          <w:color w:val="000000"/>
          <w:kern w:val="0"/>
          <w:sz w:val="28"/>
          <w:szCs w:val="28"/>
        </w:rPr>
      </w:pPr>
      <w:r>
        <w:rPr>
          <w:rFonts w:ascii="仿宋_GB2312" w:eastAsia="仿宋_GB2312" w:cs="仿宋" w:hint="eastAsia"/>
          <w:b/>
          <w:bCs/>
          <w:color w:val="000000"/>
          <w:kern w:val="0"/>
          <w:sz w:val="28"/>
          <w:szCs w:val="28"/>
        </w:rPr>
        <w:t>（三）项目实施情况</w:t>
      </w:r>
    </w:p>
    <w:p w14:paraId="7E79DEF0" w14:textId="77777777" w:rsidR="00AC6336" w:rsidRDefault="00607D1C">
      <w:p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t xml:space="preserve"> 1、活动开展情况</w:t>
      </w:r>
    </w:p>
    <w:p w14:paraId="246A8B8F" w14:textId="77777777" w:rsidR="00AC6336" w:rsidRDefault="00607D1C">
      <w:p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t>本次活动累计开展12批次，但是各县区开展批次不同，其中：海港区及开发区开展12批次，北戴河区及山海关区开展10次，昌黎、卢龙、青龙、抚宁开展7次，北戴河新区开展4次。2022年消费券促销项目共计发放消费券约399858张，实际核销优惠券126370张。</w:t>
      </w:r>
    </w:p>
    <w:p w14:paraId="2678B5DB" w14:textId="77777777" w:rsidR="00AC6336" w:rsidRDefault="00607D1C">
      <w:pPr>
        <w:numPr>
          <w:ilvl w:val="0"/>
          <w:numId w:val="2"/>
        </w:num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t>优惠券核销及结余情况</w:t>
      </w:r>
    </w:p>
    <w:p w14:paraId="7FE56247" w14:textId="77777777" w:rsidR="00AC6336" w:rsidRDefault="00607D1C">
      <w:pPr>
        <w:adjustRightInd w:val="0"/>
        <w:snapToGrid w:val="0"/>
        <w:spacing w:line="500" w:lineRule="exact"/>
        <w:ind w:firstLineChars="200" w:firstLine="560"/>
        <w:rPr>
          <w:rFonts w:ascii="仿宋" w:eastAsia="仿宋" w:cs="仿宋"/>
          <w:color w:val="000000"/>
          <w:kern w:val="0"/>
          <w:sz w:val="28"/>
          <w:szCs w:val="28"/>
        </w:rPr>
      </w:pPr>
      <w:r>
        <w:rPr>
          <w:rFonts w:ascii="仿宋_GB2312" w:eastAsia="仿宋_GB2312" w:cs="仿宋" w:hint="eastAsia"/>
          <w:color w:val="000000"/>
          <w:kern w:val="0"/>
          <w:sz w:val="28"/>
          <w:szCs w:val="28"/>
        </w:rPr>
        <w:t>2022年共计核销优惠券1139.3066万元，其中政府资金911.44528万元，银行资金227.86132万元，</w:t>
      </w:r>
      <w:r>
        <w:rPr>
          <w:rFonts w:ascii="仿宋" w:eastAsia="仿宋" w:cs="仿宋" w:hint="eastAsia"/>
          <w:color w:val="000000"/>
          <w:kern w:val="0"/>
          <w:sz w:val="28"/>
          <w:szCs w:val="28"/>
        </w:rPr>
        <w:t>按照优惠券核销金额计算，结余资金27.6059万元，其中：政府资金22.08472万元，银行资金5.52118万元。</w:t>
      </w:r>
      <w:r>
        <w:rPr>
          <w:rFonts w:ascii="仿宋_GB2312" w:eastAsia="仿宋_GB2312" w:cs="仿宋" w:hint="eastAsia"/>
          <w:color w:val="000000"/>
          <w:kern w:val="0"/>
          <w:sz w:val="28"/>
          <w:szCs w:val="28"/>
        </w:rPr>
        <w:t>各县区具体核销情况如下：</w:t>
      </w:r>
      <w:r>
        <w:rPr>
          <w:rFonts w:ascii="仿宋" w:eastAsia="仿宋" w:cs="仿宋" w:hint="eastAsia"/>
          <w:color w:val="000000"/>
          <w:kern w:val="0"/>
          <w:sz w:val="28"/>
          <w:szCs w:val="28"/>
        </w:rPr>
        <w:t xml:space="preserve">  </w:t>
      </w:r>
    </w:p>
    <w:tbl>
      <w:tblPr>
        <w:tblW w:w="9278" w:type="dxa"/>
        <w:tblInd w:w="93" w:type="dxa"/>
        <w:tblLayout w:type="fixed"/>
        <w:tblLook w:val="04A0" w:firstRow="1" w:lastRow="0" w:firstColumn="1" w:lastColumn="0" w:noHBand="0" w:noVBand="1"/>
      </w:tblPr>
      <w:tblGrid>
        <w:gridCol w:w="1831"/>
        <w:gridCol w:w="1048"/>
        <w:gridCol w:w="992"/>
        <w:gridCol w:w="993"/>
        <w:gridCol w:w="992"/>
        <w:gridCol w:w="992"/>
        <w:gridCol w:w="992"/>
        <w:gridCol w:w="1438"/>
      </w:tblGrid>
      <w:tr w:rsidR="00AC6336" w14:paraId="58F61FCB" w14:textId="77777777">
        <w:trPr>
          <w:trHeight w:val="119"/>
        </w:trPr>
        <w:tc>
          <w:tcPr>
            <w:tcW w:w="9278" w:type="dxa"/>
            <w:gridSpan w:val="8"/>
            <w:tcBorders>
              <w:top w:val="nil"/>
              <w:left w:val="nil"/>
              <w:bottom w:val="single" w:sz="4" w:space="0" w:color="auto"/>
              <w:right w:val="nil"/>
              <w:tl2br w:val="nil"/>
              <w:tr2bl w:val="nil"/>
            </w:tcBorders>
            <w:shd w:val="clear" w:color="auto" w:fill="auto"/>
            <w:noWrap/>
            <w:vAlign w:val="center"/>
          </w:tcPr>
          <w:p w14:paraId="1DF84830"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cs="仿宋" w:hint="eastAsia"/>
                <w:color w:val="000000"/>
                <w:kern w:val="0"/>
                <w:sz w:val="24"/>
              </w:rPr>
              <w:t>单位：万元</w:t>
            </w:r>
          </w:p>
        </w:tc>
      </w:tr>
      <w:tr w:rsidR="00AC6336" w14:paraId="54ED9AE4" w14:textId="77777777">
        <w:trPr>
          <w:trHeight w:val="270"/>
        </w:trPr>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E9E16" w14:textId="77777777" w:rsidR="00AC6336" w:rsidRDefault="00607D1C">
            <w:pPr>
              <w:adjustRightInd w:val="0"/>
              <w:snapToGrid w:val="0"/>
              <w:spacing w:line="260" w:lineRule="exact"/>
              <w:jc w:val="center"/>
              <w:rPr>
                <w:rFonts w:ascii="仿宋_GB2312" w:eastAsia="仿宋_GB2312" w:cs="仿宋"/>
                <w:b/>
                <w:bCs/>
                <w:color w:val="000000"/>
                <w:kern w:val="0"/>
                <w:sz w:val="24"/>
              </w:rPr>
            </w:pPr>
            <w:r>
              <w:rPr>
                <w:rFonts w:ascii="仿宋_GB2312" w:eastAsia="仿宋_GB2312" w:cs="仿宋" w:hint="eastAsia"/>
                <w:b/>
                <w:bCs/>
                <w:color w:val="000000"/>
                <w:kern w:val="0"/>
                <w:sz w:val="24"/>
              </w:rPr>
              <w:t>项目及区域</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3AF0D" w14:textId="77777777" w:rsidR="00AC6336" w:rsidRDefault="00607D1C">
            <w:pPr>
              <w:adjustRightInd w:val="0"/>
              <w:snapToGrid w:val="0"/>
              <w:spacing w:line="260" w:lineRule="exact"/>
              <w:jc w:val="center"/>
              <w:rPr>
                <w:rFonts w:ascii="仿宋_GB2312" w:eastAsia="仿宋_GB2312" w:cs="仿宋"/>
                <w:b/>
                <w:bCs/>
                <w:color w:val="000000"/>
                <w:kern w:val="0"/>
                <w:sz w:val="24"/>
              </w:rPr>
            </w:pPr>
            <w:r>
              <w:rPr>
                <w:rFonts w:ascii="仿宋_GB2312" w:eastAsia="仿宋_GB2312" w:cs="仿宋" w:hint="eastAsia"/>
                <w:b/>
                <w:bCs/>
                <w:color w:val="000000"/>
                <w:kern w:val="0"/>
                <w:sz w:val="24"/>
              </w:rPr>
              <w:t>餐饮类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F3F58" w14:textId="77777777" w:rsidR="00AC6336" w:rsidRDefault="00607D1C">
            <w:pPr>
              <w:adjustRightInd w:val="0"/>
              <w:snapToGrid w:val="0"/>
              <w:spacing w:line="260" w:lineRule="exact"/>
              <w:jc w:val="center"/>
              <w:rPr>
                <w:rFonts w:ascii="仿宋_GB2312" w:eastAsia="仿宋_GB2312" w:cs="仿宋"/>
                <w:b/>
                <w:bCs/>
                <w:color w:val="000000"/>
                <w:kern w:val="0"/>
                <w:sz w:val="24"/>
              </w:rPr>
            </w:pPr>
            <w:r>
              <w:rPr>
                <w:rFonts w:ascii="仿宋_GB2312" w:eastAsia="仿宋_GB2312" w:cs="仿宋" w:hint="eastAsia"/>
                <w:b/>
                <w:bCs/>
                <w:color w:val="000000"/>
                <w:kern w:val="0"/>
                <w:sz w:val="24"/>
              </w:rPr>
              <w:t>商超类</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E098" w14:textId="77777777" w:rsidR="00AC6336" w:rsidRDefault="00607D1C">
            <w:pPr>
              <w:adjustRightInd w:val="0"/>
              <w:snapToGrid w:val="0"/>
              <w:spacing w:line="260" w:lineRule="exact"/>
              <w:jc w:val="center"/>
              <w:rPr>
                <w:rFonts w:ascii="仿宋_GB2312" w:eastAsia="仿宋_GB2312" w:cs="仿宋"/>
                <w:b/>
                <w:bCs/>
                <w:color w:val="000000"/>
                <w:kern w:val="0"/>
                <w:sz w:val="24"/>
              </w:rPr>
            </w:pPr>
            <w:r>
              <w:rPr>
                <w:rFonts w:ascii="仿宋_GB2312" w:eastAsia="仿宋_GB2312" w:cs="仿宋" w:hint="eastAsia"/>
                <w:b/>
                <w:bCs/>
                <w:color w:val="000000"/>
                <w:kern w:val="0"/>
                <w:sz w:val="24"/>
              </w:rPr>
              <w:t>家电类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E07F3" w14:textId="77777777" w:rsidR="00AC6336" w:rsidRDefault="00607D1C">
            <w:pPr>
              <w:adjustRightInd w:val="0"/>
              <w:snapToGrid w:val="0"/>
              <w:spacing w:line="260" w:lineRule="exact"/>
              <w:jc w:val="center"/>
              <w:rPr>
                <w:rFonts w:ascii="仿宋_GB2312" w:eastAsia="仿宋_GB2312" w:cs="仿宋"/>
                <w:b/>
                <w:bCs/>
                <w:color w:val="000000"/>
                <w:kern w:val="0"/>
                <w:sz w:val="24"/>
              </w:rPr>
            </w:pPr>
            <w:r>
              <w:rPr>
                <w:rFonts w:ascii="仿宋_GB2312" w:eastAsia="仿宋_GB2312" w:cs="仿宋" w:hint="eastAsia"/>
                <w:b/>
                <w:bCs/>
                <w:color w:val="000000"/>
                <w:kern w:val="0"/>
                <w:sz w:val="24"/>
              </w:rPr>
              <w:t>成品油</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3E23A" w14:textId="77777777" w:rsidR="00AC6336" w:rsidRDefault="00607D1C">
            <w:pPr>
              <w:adjustRightInd w:val="0"/>
              <w:snapToGrid w:val="0"/>
              <w:spacing w:line="260" w:lineRule="exact"/>
              <w:jc w:val="center"/>
              <w:rPr>
                <w:rFonts w:ascii="仿宋_GB2312" w:eastAsia="仿宋_GB2312" w:cs="仿宋"/>
                <w:b/>
                <w:bCs/>
                <w:color w:val="000000"/>
                <w:kern w:val="0"/>
                <w:sz w:val="24"/>
              </w:rPr>
            </w:pPr>
            <w:r>
              <w:rPr>
                <w:rFonts w:ascii="仿宋_GB2312" w:eastAsia="仿宋_GB2312" w:cs="仿宋" w:hint="eastAsia"/>
                <w:b/>
                <w:bCs/>
                <w:color w:val="000000"/>
                <w:kern w:val="0"/>
                <w:sz w:val="24"/>
              </w:rPr>
              <w:t>汽车类</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A8297" w14:textId="77777777" w:rsidR="00AC6336" w:rsidRDefault="00607D1C">
            <w:pPr>
              <w:adjustRightInd w:val="0"/>
              <w:snapToGrid w:val="0"/>
              <w:spacing w:line="260" w:lineRule="exact"/>
              <w:jc w:val="center"/>
              <w:rPr>
                <w:rFonts w:ascii="仿宋_GB2312" w:eastAsia="仿宋_GB2312" w:cs="仿宋"/>
                <w:b/>
                <w:bCs/>
                <w:color w:val="000000"/>
                <w:kern w:val="0"/>
                <w:sz w:val="24"/>
              </w:rPr>
            </w:pPr>
            <w:r>
              <w:rPr>
                <w:rFonts w:ascii="仿宋_GB2312" w:eastAsia="仿宋_GB2312" w:cs="仿宋" w:hint="eastAsia"/>
                <w:b/>
                <w:bCs/>
                <w:color w:val="000000"/>
                <w:kern w:val="0"/>
                <w:sz w:val="24"/>
              </w:rPr>
              <w:t>旅游类</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0CB8D" w14:textId="77777777" w:rsidR="00AC6336" w:rsidRDefault="00607D1C">
            <w:pPr>
              <w:adjustRightInd w:val="0"/>
              <w:snapToGrid w:val="0"/>
              <w:spacing w:line="260" w:lineRule="exact"/>
              <w:jc w:val="center"/>
              <w:rPr>
                <w:rFonts w:ascii="仿宋_GB2312" w:eastAsia="仿宋_GB2312" w:cs="仿宋"/>
                <w:b/>
                <w:bCs/>
                <w:color w:val="000000"/>
                <w:kern w:val="0"/>
                <w:sz w:val="24"/>
              </w:rPr>
            </w:pPr>
            <w:r>
              <w:rPr>
                <w:rFonts w:ascii="仿宋_GB2312" w:eastAsia="仿宋_GB2312" w:cs="仿宋" w:hint="eastAsia"/>
                <w:b/>
                <w:bCs/>
                <w:color w:val="000000"/>
                <w:kern w:val="0"/>
                <w:sz w:val="24"/>
              </w:rPr>
              <w:t>合计</w:t>
            </w:r>
          </w:p>
        </w:tc>
      </w:tr>
      <w:tr w:rsidR="00AC6336" w14:paraId="055D13DF" w14:textId="77777777">
        <w:trPr>
          <w:trHeight w:val="270"/>
        </w:trPr>
        <w:tc>
          <w:tcPr>
            <w:tcW w:w="1831"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A5BFF49" w14:textId="77777777" w:rsidR="00AC6336" w:rsidRDefault="00607D1C">
            <w:pPr>
              <w:adjustRightInd w:val="0"/>
              <w:snapToGrid w:val="0"/>
              <w:spacing w:line="260" w:lineRule="exact"/>
              <w:jc w:val="left"/>
              <w:rPr>
                <w:rFonts w:ascii="仿宋_GB2312" w:eastAsia="仿宋_GB2312" w:cs="仿宋"/>
                <w:color w:val="000000"/>
                <w:kern w:val="0"/>
                <w:sz w:val="24"/>
              </w:rPr>
            </w:pPr>
            <w:r>
              <w:rPr>
                <w:rFonts w:ascii="仿宋_GB2312" w:eastAsia="仿宋_GB2312" w:cs="仿宋" w:hint="eastAsia"/>
                <w:color w:val="000000"/>
                <w:kern w:val="0"/>
                <w:sz w:val="24"/>
              </w:rPr>
              <w:t>1、海港区</w:t>
            </w:r>
          </w:p>
        </w:tc>
        <w:tc>
          <w:tcPr>
            <w:tcW w:w="1048"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65D60EB"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20.816</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75C098F"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51.966</w:t>
            </w:r>
          </w:p>
        </w:tc>
        <w:tc>
          <w:tcPr>
            <w:tcW w:w="993"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0E7AC43"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52.14</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2C83CCF"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6D1D36E"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153.5</w:t>
            </w:r>
          </w:p>
        </w:tc>
        <w:tc>
          <w:tcPr>
            <w:tcW w:w="992"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AA8CAC0"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0.0096</w:t>
            </w:r>
          </w:p>
        </w:tc>
        <w:tc>
          <w:tcPr>
            <w:tcW w:w="1438"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876EC88"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278.4316</w:t>
            </w:r>
          </w:p>
        </w:tc>
      </w:tr>
      <w:tr w:rsidR="00AC6336" w14:paraId="7803BCBF" w14:textId="77777777">
        <w:trPr>
          <w:trHeight w:val="270"/>
        </w:trPr>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D00C3B" w14:textId="77777777" w:rsidR="00AC6336" w:rsidRDefault="00607D1C">
            <w:pPr>
              <w:adjustRightInd w:val="0"/>
              <w:snapToGrid w:val="0"/>
              <w:spacing w:line="260" w:lineRule="exact"/>
              <w:jc w:val="left"/>
              <w:rPr>
                <w:rFonts w:ascii="仿宋_GB2312" w:eastAsia="仿宋_GB2312" w:cs="仿宋"/>
                <w:color w:val="000000"/>
                <w:kern w:val="0"/>
                <w:sz w:val="24"/>
              </w:rPr>
            </w:pPr>
            <w:r>
              <w:rPr>
                <w:rFonts w:ascii="仿宋_GB2312" w:eastAsia="仿宋_GB2312" w:cs="仿宋" w:hint="eastAsia"/>
                <w:color w:val="000000"/>
                <w:kern w:val="0"/>
                <w:sz w:val="24"/>
              </w:rPr>
              <w:t>2、开发区</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721271"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A5F2E"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62315E"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CABD4"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8C533"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293.2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21FF8F"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55D61D"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293.2</w:t>
            </w:r>
          </w:p>
        </w:tc>
      </w:tr>
      <w:tr w:rsidR="00AC6336" w14:paraId="23A7EC67" w14:textId="77777777">
        <w:trPr>
          <w:trHeight w:val="270"/>
        </w:trPr>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CDDA7" w14:textId="77777777" w:rsidR="00AC6336" w:rsidRDefault="00607D1C">
            <w:pPr>
              <w:adjustRightInd w:val="0"/>
              <w:snapToGrid w:val="0"/>
              <w:spacing w:line="260" w:lineRule="exact"/>
              <w:jc w:val="left"/>
              <w:rPr>
                <w:rFonts w:ascii="仿宋_GB2312" w:eastAsia="仿宋_GB2312" w:cs="仿宋"/>
                <w:color w:val="000000"/>
                <w:kern w:val="0"/>
                <w:sz w:val="24"/>
              </w:rPr>
            </w:pPr>
            <w:r>
              <w:rPr>
                <w:rFonts w:ascii="仿宋_GB2312" w:eastAsia="仿宋_GB2312" w:cs="仿宋" w:hint="eastAsia"/>
                <w:color w:val="000000"/>
                <w:kern w:val="0"/>
                <w:sz w:val="24"/>
              </w:rPr>
              <w:t>3、北戴河区</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0380B"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0.583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2D8D0" w14:textId="77777777" w:rsidR="00AC6336" w:rsidRDefault="00607D1C">
            <w:pPr>
              <w:adjustRightInd w:val="0"/>
              <w:snapToGrid w:val="0"/>
              <w:spacing w:line="260" w:lineRule="exact"/>
              <w:jc w:val="right"/>
              <w:rPr>
                <w:rFonts w:ascii="仿宋_GB2312" w:eastAsia="仿宋_GB2312"/>
                <w:sz w:val="24"/>
              </w:rPr>
            </w:pPr>
            <w:r>
              <w:rPr>
                <w:rFonts w:ascii="仿宋_GB2312" w:eastAsia="仿宋_GB2312" w:cs="仿宋" w:hint="eastAsia"/>
                <w:color w:val="000000"/>
                <w:kern w:val="0"/>
                <w:sz w:val="24"/>
              </w:rPr>
              <w:t>33.193</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45CBC" w14:textId="77777777" w:rsidR="00AC6336" w:rsidRDefault="00607D1C">
            <w:pPr>
              <w:adjustRightInd w:val="0"/>
              <w:snapToGrid w:val="0"/>
              <w:spacing w:line="260" w:lineRule="exact"/>
              <w:ind w:firstLineChars="200" w:firstLine="480"/>
              <w:jc w:val="right"/>
              <w:rPr>
                <w:rFonts w:ascii="仿宋_GB2312" w:eastAsia="仿宋_GB2312"/>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16627B"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65.72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CCC6B" w14:textId="77777777" w:rsidR="00AC6336" w:rsidRDefault="00607D1C">
            <w:pPr>
              <w:adjustRightInd w:val="0"/>
              <w:snapToGrid w:val="0"/>
              <w:spacing w:line="260" w:lineRule="exact"/>
              <w:ind w:firstLineChars="200" w:firstLine="480"/>
              <w:jc w:val="right"/>
              <w:rPr>
                <w:rFonts w:ascii="仿宋_GB2312" w:eastAsia="仿宋_GB2312"/>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CB0682" w14:textId="77777777" w:rsidR="00AC6336" w:rsidRDefault="00607D1C">
            <w:pPr>
              <w:adjustRightInd w:val="0"/>
              <w:snapToGrid w:val="0"/>
              <w:spacing w:line="260" w:lineRule="exact"/>
              <w:ind w:firstLineChars="200" w:firstLine="480"/>
              <w:jc w:val="right"/>
              <w:rPr>
                <w:rFonts w:ascii="仿宋_GB2312" w:eastAsia="仿宋_GB2312"/>
                <w:sz w:val="24"/>
              </w:rPr>
            </w:pPr>
            <w:r>
              <w:rPr>
                <w:rFonts w:ascii="仿宋_GB2312" w:eastAsia="仿宋_GB2312" w:hint="eastAsia"/>
                <w:sz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C55056" w14:textId="77777777" w:rsidR="00AC6336" w:rsidRDefault="00607D1C">
            <w:pPr>
              <w:adjustRightInd w:val="0"/>
              <w:snapToGrid w:val="0"/>
              <w:spacing w:line="260" w:lineRule="exact"/>
              <w:jc w:val="right"/>
              <w:rPr>
                <w:rFonts w:ascii="仿宋_GB2312" w:eastAsia="仿宋_GB2312"/>
                <w:sz w:val="24"/>
              </w:rPr>
            </w:pPr>
            <w:r>
              <w:rPr>
                <w:rFonts w:ascii="仿宋_GB2312" w:eastAsia="仿宋_GB2312" w:cs="仿宋" w:hint="eastAsia"/>
                <w:color w:val="000000"/>
                <w:kern w:val="0"/>
                <w:sz w:val="24"/>
              </w:rPr>
              <w:t>99.496</w:t>
            </w:r>
          </w:p>
        </w:tc>
      </w:tr>
      <w:tr w:rsidR="00AC6336" w14:paraId="0D718ECF" w14:textId="77777777">
        <w:trPr>
          <w:trHeight w:val="270"/>
        </w:trPr>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24FA3D" w14:textId="77777777" w:rsidR="00AC6336" w:rsidRDefault="00607D1C">
            <w:pPr>
              <w:adjustRightInd w:val="0"/>
              <w:snapToGrid w:val="0"/>
              <w:spacing w:line="260" w:lineRule="exact"/>
              <w:jc w:val="left"/>
              <w:rPr>
                <w:rFonts w:ascii="仿宋_GB2312" w:eastAsia="仿宋_GB2312" w:cs="仿宋"/>
                <w:color w:val="000000"/>
                <w:kern w:val="0"/>
                <w:sz w:val="24"/>
              </w:rPr>
            </w:pPr>
            <w:r>
              <w:rPr>
                <w:rFonts w:ascii="仿宋_GB2312" w:eastAsia="仿宋_GB2312" w:cs="仿宋" w:hint="eastAsia"/>
                <w:color w:val="000000"/>
                <w:kern w:val="0"/>
                <w:sz w:val="24"/>
              </w:rPr>
              <w:t>4、山海关区</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A0F9A9"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3.412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9699D8" w14:textId="77777777" w:rsidR="00AC6336" w:rsidRDefault="00607D1C">
            <w:pPr>
              <w:adjustRightInd w:val="0"/>
              <w:snapToGrid w:val="0"/>
              <w:spacing w:line="260" w:lineRule="exact"/>
              <w:jc w:val="right"/>
              <w:rPr>
                <w:rFonts w:ascii="仿宋_GB2312" w:eastAsia="仿宋_GB2312"/>
                <w:sz w:val="24"/>
              </w:rPr>
            </w:pPr>
            <w:r>
              <w:rPr>
                <w:rFonts w:ascii="仿宋_GB2312" w:eastAsia="仿宋_GB2312" w:cs="仿宋" w:hint="eastAsia"/>
                <w:color w:val="000000"/>
                <w:kern w:val="0"/>
                <w:sz w:val="24"/>
              </w:rPr>
              <w:t>69.595</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8B7F4" w14:textId="77777777" w:rsidR="00AC6336" w:rsidRDefault="00607D1C">
            <w:pPr>
              <w:adjustRightInd w:val="0"/>
              <w:snapToGrid w:val="0"/>
              <w:spacing w:line="260" w:lineRule="exact"/>
              <w:ind w:firstLineChars="200" w:firstLine="480"/>
              <w:jc w:val="right"/>
              <w:rPr>
                <w:rFonts w:ascii="仿宋_GB2312" w:eastAsia="仿宋_GB2312"/>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5E63A"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EE3010" w14:textId="77777777" w:rsidR="00AC6336" w:rsidRDefault="00607D1C">
            <w:pPr>
              <w:adjustRightInd w:val="0"/>
              <w:snapToGrid w:val="0"/>
              <w:spacing w:line="260" w:lineRule="exact"/>
              <w:jc w:val="right"/>
              <w:rPr>
                <w:rFonts w:ascii="仿宋_GB2312" w:eastAsia="仿宋_GB2312"/>
                <w:sz w:val="24"/>
              </w:rPr>
            </w:pPr>
            <w:r>
              <w:rPr>
                <w:rFonts w:ascii="仿宋_GB2312" w:eastAsia="仿宋_GB2312" w:cs="仿宋" w:hint="eastAsia"/>
                <w:color w:val="000000"/>
                <w:kern w:val="0"/>
                <w:sz w:val="24"/>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6AC5C" w14:textId="77777777" w:rsidR="00AC6336" w:rsidRDefault="00607D1C">
            <w:pPr>
              <w:adjustRightInd w:val="0"/>
              <w:snapToGrid w:val="0"/>
              <w:spacing w:line="260" w:lineRule="exact"/>
              <w:ind w:firstLineChars="200" w:firstLine="480"/>
              <w:jc w:val="right"/>
              <w:rPr>
                <w:rFonts w:ascii="仿宋_GB2312" w:eastAsia="仿宋_GB2312"/>
                <w:sz w:val="24"/>
              </w:rPr>
            </w:pPr>
            <w:r>
              <w:rPr>
                <w:rFonts w:ascii="仿宋_GB2312" w:eastAsia="仿宋_GB2312" w:hint="eastAsia"/>
                <w:sz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EF107" w14:textId="77777777" w:rsidR="00AC6336" w:rsidRDefault="00607D1C">
            <w:pPr>
              <w:adjustRightInd w:val="0"/>
              <w:snapToGrid w:val="0"/>
              <w:spacing w:line="260" w:lineRule="exact"/>
              <w:jc w:val="right"/>
              <w:rPr>
                <w:rFonts w:ascii="仿宋_GB2312" w:eastAsia="仿宋_GB2312"/>
                <w:sz w:val="24"/>
              </w:rPr>
            </w:pPr>
            <w:r>
              <w:rPr>
                <w:rFonts w:ascii="仿宋_GB2312" w:eastAsia="仿宋_GB2312" w:cs="仿宋" w:hint="eastAsia"/>
                <w:color w:val="000000"/>
                <w:kern w:val="0"/>
                <w:sz w:val="24"/>
              </w:rPr>
              <w:t>73.407</w:t>
            </w:r>
          </w:p>
        </w:tc>
      </w:tr>
      <w:tr w:rsidR="00AC6336" w14:paraId="1E409B6C" w14:textId="77777777">
        <w:trPr>
          <w:trHeight w:val="270"/>
        </w:trPr>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058F0" w14:textId="77777777" w:rsidR="00AC6336" w:rsidRDefault="00607D1C">
            <w:pPr>
              <w:adjustRightInd w:val="0"/>
              <w:snapToGrid w:val="0"/>
              <w:spacing w:line="260" w:lineRule="exact"/>
              <w:jc w:val="left"/>
              <w:rPr>
                <w:rFonts w:ascii="仿宋_GB2312" w:eastAsia="仿宋_GB2312" w:cs="仿宋"/>
                <w:color w:val="000000"/>
                <w:kern w:val="0"/>
                <w:sz w:val="24"/>
              </w:rPr>
            </w:pPr>
            <w:r>
              <w:rPr>
                <w:rFonts w:ascii="仿宋_GB2312" w:eastAsia="仿宋_GB2312" w:cs="仿宋" w:hint="eastAsia"/>
                <w:color w:val="000000"/>
                <w:kern w:val="0"/>
                <w:sz w:val="24"/>
              </w:rPr>
              <w:t>5、抚宁区</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0E2CD"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1.091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69B6BB" w14:textId="77777777" w:rsidR="00AC6336" w:rsidRDefault="00607D1C">
            <w:pPr>
              <w:adjustRightInd w:val="0"/>
              <w:snapToGrid w:val="0"/>
              <w:spacing w:line="260" w:lineRule="exact"/>
              <w:jc w:val="right"/>
              <w:rPr>
                <w:rFonts w:ascii="仿宋_GB2312" w:eastAsia="仿宋_GB2312"/>
                <w:sz w:val="24"/>
              </w:rPr>
            </w:pPr>
            <w:r>
              <w:rPr>
                <w:rFonts w:ascii="仿宋_GB2312" w:eastAsia="仿宋_GB2312" w:cs="仿宋" w:hint="eastAsia"/>
                <w:color w:val="000000"/>
                <w:kern w:val="0"/>
                <w:sz w:val="24"/>
              </w:rPr>
              <w:t>56.774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93D8C3" w14:textId="77777777" w:rsidR="00AC6336" w:rsidRDefault="00AC6336">
            <w:pPr>
              <w:adjustRightInd w:val="0"/>
              <w:snapToGrid w:val="0"/>
              <w:spacing w:line="260" w:lineRule="exact"/>
              <w:jc w:val="right"/>
              <w:rPr>
                <w:rFonts w:ascii="仿宋_GB2312" w:eastAsia="仿宋_GB2312"/>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EF667C"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9.877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BA559" w14:textId="77777777" w:rsidR="00AC6336" w:rsidRDefault="00607D1C">
            <w:pPr>
              <w:adjustRightInd w:val="0"/>
              <w:snapToGrid w:val="0"/>
              <w:spacing w:line="260" w:lineRule="exact"/>
              <w:jc w:val="right"/>
              <w:rPr>
                <w:rFonts w:ascii="仿宋_GB2312" w:eastAsia="仿宋_GB2312"/>
                <w:sz w:val="24"/>
              </w:rPr>
            </w:pPr>
            <w:r>
              <w:rPr>
                <w:rFonts w:ascii="仿宋_GB2312" w:eastAsia="仿宋_GB2312" w:cs="仿宋" w:hint="eastAsia"/>
                <w:color w:val="000000"/>
                <w:kern w:val="0"/>
                <w:sz w:val="24"/>
              </w:rPr>
              <w:t>9.4</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431C61" w14:textId="77777777" w:rsidR="00AC6336" w:rsidRDefault="00607D1C">
            <w:pPr>
              <w:adjustRightInd w:val="0"/>
              <w:snapToGrid w:val="0"/>
              <w:spacing w:line="260" w:lineRule="exact"/>
              <w:ind w:firstLineChars="200" w:firstLine="480"/>
              <w:jc w:val="right"/>
              <w:rPr>
                <w:rFonts w:ascii="仿宋_GB2312" w:eastAsia="仿宋_GB2312"/>
                <w:sz w:val="24"/>
              </w:rPr>
            </w:pPr>
            <w:r>
              <w:rPr>
                <w:rFonts w:ascii="仿宋_GB2312" w:eastAsia="仿宋_GB2312" w:hint="eastAsia"/>
                <w:sz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A46EEE" w14:textId="77777777" w:rsidR="00AC6336" w:rsidRDefault="00607D1C">
            <w:pPr>
              <w:adjustRightInd w:val="0"/>
              <w:snapToGrid w:val="0"/>
              <w:spacing w:line="260" w:lineRule="exact"/>
              <w:jc w:val="right"/>
              <w:rPr>
                <w:rFonts w:ascii="仿宋_GB2312" w:eastAsia="仿宋_GB2312"/>
                <w:sz w:val="24"/>
              </w:rPr>
            </w:pPr>
            <w:r>
              <w:rPr>
                <w:rFonts w:ascii="仿宋_GB2312" w:eastAsia="仿宋_GB2312" w:hint="eastAsia"/>
                <w:sz w:val="24"/>
              </w:rPr>
              <w:t>77.142</w:t>
            </w:r>
          </w:p>
        </w:tc>
      </w:tr>
      <w:tr w:rsidR="00AC6336" w14:paraId="5E22B434" w14:textId="77777777">
        <w:trPr>
          <w:trHeight w:val="270"/>
        </w:trPr>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7348F" w14:textId="77777777" w:rsidR="00AC6336" w:rsidRDefault="00607D1C">
            <w:pPr>
              <w:adjustRightInd w:val="0"/>
              <w:snapToGrid w:val="0"/>
              <w:spacing w:line="260" w:lineRule="exact"/>
              <w:jc w:val="left"/>
              <w:rPr>
                <w:rFonts w:ascii="仿宋_GB2312" w:eastAsia="仿宋_GB2312" w:cs="仿宋"/>
                <w:color w:val="000000"/>
                <w:kern w:val="0"/>
                <w:sz w:val="24"/>
              </w:rPr>
            </w:pPr>
            <w:r>
              <w:rPr>
                <w:rFonts w:ascii="仿宋_GB2312" w:eastAsia="仿宋_GB2312" w:cs="仿宋" w:hint="eastAsia"/>
                <w:color w:val="000000"/>
                <w:kern w:val="0"/>
                <w:sz w:val="24"/>
              </w:rPr>
              <w:t>6、北戴河新区</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81FE0"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5.831</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BAA9E"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27.994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4D4BDC"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64164E"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B890F1"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D48E3"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02166B"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33.825</w:t>
            </w:r>
          </w:p>
        </w:tc>
      </w:tr>
      <w:tr w:rsidR="00AC6336" w14:paraId="57F86B4D" w14:textId="77777777">
        <w:trPr>
          <w:trHeight w:val="385"/>
        </w:trPr>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68049B" w14:textId="77777777" w:rsidR="00AC6336" w:rsidRDefault="00607D1C">
            <w:pPr>
              <w:adjustRightInd w:val="0"/>
              <w:snapToGrid w:val="0"/>
              <w:spacing w:line="260" w:lineRule="exact"/>
              <w:jc w:val="left"/>
              <w:rPr>
                <w:rFonts w:ascii="仿宋_GB2312" w:eastAsia="仿宋_GB2312" w:cs="仿宋"/>
                <w:color w:val="000000"/>
                <w:kern w:val="0"/>
                <w:sz w:val="24"/>
              </w:rPr>
            </w:pPr>
            <w:r>
              <w:rPr>
                <w:rFonts w:ascii="仿宋_GB2312" w:eastAsia="仿宋_GB2312" w:cs="仿宋" w:hint="eastAsia"/>
                <w:color w:val="000000"/>
                <w:kern w:val="0"/>
                <w:sz w:val="24"/>
              </w:rPr>
              <w:t>7、卢龙县</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5A6B8"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38.347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9B6CA"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29.194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623F9" w14:textId="77777777" w:rsidR="00AC6336" w:rsidRDefault="00AC6336">
            <w:pPr>
              <w:adjustRightInd w:val="0"/>
              <w:snapToGrid w:val="0"/>
              <w:spacing w:line="260" w:lineRule="exact"/>
              <w:ind w:firstLineChars="200" w:firstLine="480"/>
              <w:jc w:val="right"/>
              <w:rPr>
                <w:rFonts w:ascii="仿宋_GB2312" w:eastAsia="仿宋_GB2312" w:cs="仿宋"/>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5ED0F7" w14:textId="77777777" w:rsidR="00AC6336" w:rsidRDefault="00AC6336">
            <w:pPr>
              <w:adjustRightInd w:val="0"/>
              <w:snapToGrid w:val="0"/>
              <w:spacing w:line="260" w:lineRule="exact"/>
              <w:jc w:val="right"/>
              <w:rPr>
                <w:rFonts w:ascii="仿宋_GB2312" w:eastAsia="仿宋_GB2312" w:cs="仿宋"/>
                <w:color w:val="000000"/>
                <w:kern w:val="0"/>
                <w:sz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834E79"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66162"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B2B5E1"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76.041</w:t>
            </w:r>
          </w:p>
        </w:tc>
      </w:tr>
      <w:tr w:rsidR="00AC6336" w14:paraId="547501C6" w14:textId="77777777">
        <w:trPr>
          <w:trHeight w:val="385"/>
        </w:trPr>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95ED5" w14:textId="77777777" w:rsidR="00AC6336" w:rsidRDefault="00607D1C">
            <w:pPr>
              <w:adjustRightInd w:val="0"/>
              <w:snapToGrid w:val="0"/>
              <w:spacing w:line="260" w:lineRule="exact"/>
              <w:jc w:val="left"/>
              <w:rPr>
                <w:rFonts w:ascii="仿宋_GB2312" w:eastAsia="仿宋_GB2312" w:cs="仿宋"/>
                <w:color w:val="000000"/>
                <w:kern w:val="0"/>
                <w:sz w:val="24"/>
              </w:rPr>
            </w:pPr>
            <w:r>
              <w:rPr>
                <w:rFonts w:ascii="仿宋_GB2312" w:eastAsia="仿宋_GB2312" w:cs="仿宋" w:hint="eastAsia"/>
                <w:color w:val="000000"/>
                <w:kern w:val="0"/>
                <w:sz w:val="24"/>
              </w:rPr>
              <w:t>8、昌黎县</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806DD"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0.638</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2C454B"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80.307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B357F"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50.22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F02E84"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54E93"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144853"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2779B6"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131.165</w:t>
            </w:r>
          </w:p>
        </w:tc>
      </w:tr>
      <w:tr w:rsidR="00AC6336" w14:paraId="3F358E9A" w14:textId="77777777">
        <w:trPr>
          <w:trHeight w:val="270"/>
        </w:trPr>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D1EDC9" w14:textId="77777777" w:rsidR="00AC6336" w:rsidRDefault="00607D1C">
            <w:pPr>
              <w:adjustRightInd w:val="0"/>
              <w:snapToGrid w:val="0"/>
              <w:spacing w:line="260" w:lineRule="exact"/>
              <w:jc w:val="left"/>
              <w:rPr>
                <w:rFonts w:ascii="仿宋_GB2312" w:eastAsia="仿宋_GB2312" w:cs="仿宋"/>
                <w:color w:val="000000"/>
                <w:kern w:val="0"/>
                <w:sz w:val="24"/>
              </w:rPr>
            </w:pPr>
            <w:r>
              <w:rPr>
                <w:rFonts w:ascii="仿宋_GB2312" w:eastAsia="仿宋_GB2312" w:cs="仿宋" w:hint="eastAsia"/>
                <w:color w:val="000000"/>
                <w:kern w:val="0"/>
                <w:sz w:val="24"/>
              </w:rPr>
              <w:t>9、青龙县</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9BFE3A"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0.015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4D87A"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63.824</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19F42"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12.76</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75FC6"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D1FCA2"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59431" w14:textId="77777777" w:rsidR="00AC6336" w:rsidRDefault="00607D1C">
            <w:pPr>
              <w:adjustRightInd w:val="0"/>
              <w:snapToGrid w:val="0"/>
              <w:spacing w:line="260" w:lineRule="exact"/>
              <w:ind w:firstLineChars="200" w:firstLine="480"/>
              <w:jc w:val="right"/>
              <w:rPr>
                <w:rFonts w:ascii="仿宋_GB2312" w:eastAsia="仿宋_GB2312" w:cs="仿宋"/>
                <w:color w:val="000000"/>
                <w:kern w:val="0"/>
                <w:sz w:val="24"/>
              </w:rPr>
            </w:pPr>
            <w:r>
              <w:rPr>
                <w:rFonts w:ascii="仿宋_GB2312" w:eastAsia="仿宋_GB2312" w:hint="eastAsia"/>
                <w:sz w:val="24"/>
              </w:rPr>
              <w:t>0</w:t>
            </w:r>
          </w:p>
        </w:tc>
        <w:tc>
          <w:tcPr>
            <w:tcW w:w="1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2DE43"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76.599</w:t>
            </w:r>
          </w:p>
        </w:tc>
      </w:tr>
      <w:tr w:rsidR="00AC6336" w14:paraId="1BCA3364" w14:textId="77777777">
        <w:trPr>
          <w:trHeight w:val="270"/>
        </w:trPr>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C70E8" w14:textId="77777777" w:rsidR="00AC6336" w:rsidRDefault="00607D1C">
            <w:pPr>
              <w:adjustRightInd w:val="0"/>
              <w:snapToGrid w:val="0"/>
              <w:spacing w:line="260" w:lineRule="exact"/>
              <w:jc w:val="center"/>
              <w:rPr>
                <w:rFonts w:ascii="仿宋_GB2312" w:eastAsia="仿宋_GB2312" w:cs="仿宋"/>
                <w:color w:val="000000"/>
                <w:kern w:val="0"/>
                <w:sz w:val="24"/>
              </w:rPr>
            </w:pPr>
            <w:r>
              <w:rPr>
                <w:rFonts w:ascii="仿宋_GB2312" w:eastAsia="仿宋_GB2312" w:cs="仿宋" w:hint="eastAsia"/>
                <w:color w:val="000000"/>
                <w:kern w:val="0"/>
                <w:sz w:val="24"/>
              </w:rPr>
              <w:t>合</w:t>
            </w:r>
            <w:r>
              <w:rPr>
                <w:rFonts w:ascii="仿宋_GB2312" w:eastAsia="仿宋_GB2312" w:cs="仿宋"/>
                <w:color w:val="000000"/>
                <w:kern w:val="0"/>
                <w:sz w:val="24"/>
              </w:rPr>
              <w:t xml:space="preserve">  </w:t>
            </w:r>
            <w:r>
              <w:rPr>
                <w:rFonts w:ascii="仿宋_GB2312" w:eastAsia="仿宋_GB2312" w:cs="仿宋" w:hint="eastAsia"/>
                <w:color w:val="000000"/>
                <w:kern w:val="0"/>
                <w:sz w:val="24"/>
              </w:rPr>
              <w:t>计</w:t>
            </w:r>
          </w:p>
        </w:tc>
        <w:tc>
          <w:tcPr>
            <w:tcW w:w="10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742848"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70.733</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A2E3F"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412.847</w:t>
            </w:r>
          </w:p>
        </w:tc>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CE36F"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115.12</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7DC3D0"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75.597</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CDB5AA"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465</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F1D9B"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hint="eastAsia"/>
                <w:sz w:val="24"/>
              </w:rPr>
              <w:t>0.0096</w:t>
            </w:r>
          </w:p>
        </w:tc>
        <w:tc>
          <w:tcPr>
            <w:tcW w:w="14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FABAF" w14:textId="77777777" w:rsidR="00AC6336" w:rsidRDefault="00607D1C">
            <w:pPr>
              <w:adjustRightInd w:val="0"/>
              <w:snapToGrid w:val="0"/>
              <w:spacing w:line="260" w:lineRule="exact"/>
              <w:jc w:val="right"/>
              <w:rPr>
                <w:rFonts w:ascii="仿宋_GB2312" w:eastAsia="仿宋_GB2312" w:cs="仿宋"/>
                <w:color w:val="000000"/>
                <w:kern w:val="0"/>
                <w:sz w:val="24"/>
              </w:rPr>
            </w:pPr>
            <w:r>
              <w:rPr>
                <w:rFonts w:ascii="仿宋_GB2312" w:eastAsia="仿宋_GB2312" w:cs="仿宋" w:hint="eastAsia"/>
                <w:color w:val="000000"/>
                <w:kern w:val="0"/>
                <w:sz w:val="24"/>
              </w:rPr>
              <w:t>1139.3066</w:t>
            </w:r>
          </w:p>
        </w:tc>
      </w:tr>
    </w:tbl>
    <w:p w14:paraId="37223C80" w14:textId="77777777" w:rsidR="00AC6336" w:rsidRDefault="00607D1C">
      <w:pPr>
        <w:pStyle w:val="3"/>
        <w:numPr>
          <w:ilvl w:val="0"/>
          <w:numId w:val="2"/>
        </w:numPr>
        <w:spacing w:before="0" w:after="0" w:line="500" w:lineRule="exact"/>
        <w:ind w:firstLineChars="200" w:firstLine="560"/>
        <w:rPr>
          <w:rFonts w:ascii="仿宋_GB2312" w:eastAsia="仿宋_GB2312" w:cs="仿宋"/>
          <w:color w:val="000000"/>
          <w:kern w:val="0"/>
          <w:sz w:val="28"/>
          <w:szCs w:val="28"/>
        </w:rPr>
      </w:pPr>
      <w:r>
        <w:rPr>
          <w:rFonts w:ascii="仿宋_GB2312" w:eastAsia="仿宋_GB2312" w:cs="仿宋" w:hint="eastAsia"/>
          <w:b w:val="0"/>
          <w:bCs w:val="0"/>
          <w:color w:val="000000"/>
          <w:kern w:val="0"/>
          <w:sz w:val="28"/>
          <w:szCs w:val="28"/>
        </w:rPr>
        <w:t>销售额带动情况（元）</w:t>
      </w:r>
      <w:r>
        <w:rPr>
          <w:rFonts w:ascii="仿宋_GB2312" w:eastAsia="仿宋_GB2312" w:cs="仿宋" w:hint="eastAsia"/>
          <w:color w:val="000000"/>
          <w:kern w:val="0"/>
          <w:sz w:val="28"/>
          <w:szCs w:val="28"/>
        </w:rPr>
        <w:t xml:space="preserve">  </w:t>
      </w:r>
    </w:p>
    <w:p w14:paraId="3777C4AE" w14:textId="77777777" w:rsidR="00AC6336" w:rsidRDefault="00607D1C">
      <w:pPr>
        <w:adjustRightInd w:val="0"/>
        <w:snapToGrid w:val="0"/>
        <w:spacing w:line="500" w:lineRule="exact"/>
        <w:ind w:firstLineChars="200" w:firstLine="560"/>
        <w:rPr>
          <w:rFonts w:ascii="仿宋" w:eastAsia="仿宋" w:cs="仿宋"/>
          <w:color w:val="000000"/>
          <w:kern w:val="0"/>
          <w:sz w:val="28"/>
          <w:szCs w:val="28"/>
        </w:rPr>
      </w:pPr>
      <w:r>
        <w:rPr>
          <w:rFonts w:ascii="仿宋_GB2312" w:eastAsia="仿宋_GB2312" w:cs="仿宋" w:hint="eastAsia"/>
          <w:color w:val="000000"/>
          <w:kern w:val="0"/>
          <w:sz w:val="28"/>
          <w:szCs w:val="28"/>
        </w:rPr>
        <w:t>2022年消费券带动销售额2.34亿元，各县区各类型消费券带动销售额明细如下：</w:t>
      </w:r>
    </w:p>
    <w:tbl>
      <w:tblPr>
        <w:tblW w:w="10719" w:type="dxa"/>
        <w:jc w:val="center"/>
        <w:tblLook w:val="04A0" w:firstRow="1" w:lastRow="0" w:firstColumn="1" w:lastColumn="0" w:noHBand="0" w:noVBand="1"/>
      </w:tblPr>
      <w:tblGrid>
        <w:gridCol w:w="1325"/>
        <w:gridCol w:w="1289"/>
        <w:gridCol w:w="1367"/>
        <w:gridCol w:w="1369"/>
        <w:gridCol w:w="1372"/>
        <w:gridCol w:w="1577"/>
        <w:gridCol w:w="848"/>
        <w:gridCol w:w="1572"/>
      </w:tblGrid>
      <w:tr w:rsidR="00AC6336" w14:paraId="731B0D08" w14:textId="77777777">
        <w:trPr>
          <w:trHeight w:val="270"/>
          <w:jc w:val="center"/>
        </w:trPr>
        <w:tc>
          <w:tcPr>
            <w:tcW w:w="10719" w:type="dxa"/>
            <w:gridSpan w:val="8"/>
            <w:tcBorders>
              <w:top w:val="nil"/>
              <w:left w:val="nil"/>
              <w:bottom w:val="single" w:sz="4" w:space="0" w:color="auto"/>
              <w:right w:val="nil"/>
              <w:tl2br w:val="nil"/>
              <w:tr2bl w:val="nil"/>
            </w:tcBorders>
            <w:shd w:val="clear" w:color="auto" w:fill="auto"/>
            <w:noWrap/>
            <w:vAlign w:val="center"/>
          </w:tcPr>
          <w:p w14:paraId="08C11A4F" w14:textId="77777777" w:rsidR="00AC6336" w:rsidRDefault="00607D1C">
            <w:pPr>
              <w:widowControl/>
              <w:jc w:val="right"/>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单位：元</w:t>
            </w:r>
          </w:p>
        </w:tc>
      </w:tr>
      <w:tr w:rsidR="00AC6336" w14:paraId="2F0B3291" w14:textId="77777777">
        <w:trPr>
          <w:trHeight w:val="270"/>
          <w:jc w:val="center"/>
        </w:trPr>
        <w:tc>
          <w:tcPr>
            <w:tcW w:w="13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FDEEB"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项目及区域</w:t>
            </w: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7D6AF"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餐饮类</w:t>
            </w:r>
          </w:p>
        </w:tc>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3AE0D"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商超类</w:t>
            </w:r>
          </w:p>
        </w:tc>
        <w:tc>
          <w:tcPr>
            <w:tcW w:w="13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8DE3A"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家电类</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1FEB6"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成品油</w:t>
            </w:r>
          </w:p>
        </w:tc>
        <w:tc>
          <w:tcPr>
            <w:tcW w:w="1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542F6"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汽车类</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6D612"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旅游类</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F505F" w14:textId="77777777" w:rsidR="00AC6336" w:rsidRDefault="00AC6336">
            <w:pPr>
              <w:widowControl/>
              <w:jc w:val="center"/>
              <w:textAlignment w:val="center"/>
              <w:rPr>
                <w:rFonts w:ascii="仿宋_GB2312" w:eastAsia="仿宋_GB2312" w:cs="仿宋"/>
                <w:color w:val="000000"/>
                <w:kern w:val="0"/>
                <w:sz w:val="18"/>
                <w:szCs w:val="18"/>
              </w:rPr>
            </w:pPr>
          </w:p>
        </w:tc>
      </w:tr>
      <w:tr w:rsidR="00AC6336" w14:paraId="0DA6B01E" w14:textId="77777777">
        <w:trPr>
          <w:trHeight w:val="270"/>
          <w:jc w:val="center"/>
        </w:trPr>
        <w:tc>
          <w:tcPr>
            <w:tcW w:w="132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B9FA749"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lastRenderedPageBreak/>
              <w:t>海港区</w:t>
            </w:r>
          </w:p>
        </w:tc>
        <w:tc>
          <w:tcPr>
            <w:tcW w:w="1289"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6E187B8" w14:textId="77777777" w:rsidR="00AC6336" w:rsidRDefault="00607D1C">
            <w:pPr>
              <w:widowControl/>
              <w:ind w:left="-118"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1,066,488.87 </w:t>
            </w:r>
          </w:p>
        </w:tc>
        <w:tc>
          <w:tcPr>
            <w:tcW w:w="1367"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5205C68"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2,104,947.95 </w:t>
            </w:r>
          </w:p>
        </w:tc>
        <w:tc>
          <w:tcPr>
            <w:tcW w:w="1369"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585F553" w14:textId="77777777" w:rsidR="00AC6336" w:rsidRDefault="00607D1C">
            <w:pPr>
              <w:widowControl/>
              <w:ind w:left="-105"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5,682,900.30 </w:t>
            </w:r>
          </w:p>
        </w:tc>
        <w:tc>
          <w:tcPr>
            <w:tcW w:w="1372"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F212814" w14:textId="77777777" w:rsidR="00AC6336" w:rsidRDefault="00AC6336">
            <w:pPr>
              <w:widowControl/>
              <w:ind w:left="-110" w:right="-105"/>
              <w:jc w:val="center"/>
              <w:textAlignment w:val="center"/>
              <w:rPr>
                <w:rFonts w:ascii="仿宋_GB2312" w:eastAsia="仿宋_GB2312" w:cs="仿宋"/>
                <w:color w:val="000000"/>
                <w:kern w:val="0"/>
                <w:sz w:val="18"/>
                <w:szCs w:val="18"/>
              </w:rPr>
            </w:pPr>
          </w:p>
        </w:tc>
        <w:tc>
          <w:tcPr>
            <w:tcW w:w="1577"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60B4036"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68,183,000.00 </w:t>
            </w:r>
          </w:p>
        </w:tc>
        <w:tc>
          <w:tcPr>
            <w:tcW w:w="848"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8AB3342" w14:textId="77777777" w:rsidR="00AC6336" w:rsidRDefault="00607D1C">
            <w:pPr>
              <w:widowControl/>
              <w:ind w:left="-119"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433.00 </w:t>
            </w:r>
          </w:p>
        </w:tc>
        <w:tc>
          <w:tcPr>
            <w:tcW w:w="1571"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ADA2413" w14:textId="77777777" w:rsidR="00AC6336" w:rsidRDefault="00607D1C">
            <w:pPr>
              <w:widowControl/>
              <w:ind w:left="-112"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77,037,770.12 </w:t>
            </w:r>
          </w:p>
        </w:tc>
      </w:tr>
      <w:tr w:rsidR="00AC6336" w14:paraId="77F2B79D" w14:textId="77777777">
        <w:trPr>
          <w:trHeight w:val="270"/>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F1FC0"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开发区</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1F314" w14:textId="77777777" w:rsidR="00AC6336" w:rsidRDefault="00AC6336">
            <w:pPr>
              <w:widowControl/>
              <w:ind w:left="-118" w:right="-105"/>
              <w:jc w:val="center"/>
              <w:textAlignment w:val="center"/>
              <w:rPr>
                <w:rFonts w:ascii="仿宋_GB2312" w:eastAsia="仿宋_GB2312" w:cs="仿宋"/>
                <w:color w:val="000000"/>
                <w:kern w:val="0"/>
                <w:sz w:val="18"/>
                <w:szCs w:val="18"/>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46F014" w14:textId="77777777" w:rsidR="00AC6336" w:rsidRDefault="00AC6336">
            <w:pPr>
              <w:widowControl/>
              <w:ind w:left="-117" w:right="-105"/>
              <w:jc w:val="center"/>
              <w:textAlignment w:val="center"/>
              <w:rPr>
                <w:rFonts w:ascii="仿宋_GB2312" w:eastAsia="仿宋_GB2312" w:cs="仿宋"/>
                <w:color w:val="000000"/>
                <w:kern w:val="0"/>
                <w:sz w:val="18"/>
                <w:szCs w:val="18"/>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74F062" w14:textId="77777777" w:rsidR="00AC6336" w:rsidRDefault="00AC6336">
            <w:pPr>
              <w:widowControl/>
              <w:ind w:left="-105" w:right="-105"/>
              <w:jc w:val="center"/>
              <w:textAlignment w:val="center"/>
              <w:rPr>
                <w:rFonts w:ascii="仿宋_GB2312" w:eastAsia="仿宋_GB2312" w:cs="仿宋"/>
                <w:color w:val="000000"/>
                <w:kern w:val="0"/>
                <w:sz w:val="18"/>
                <w:szCs w:val="1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68D28" w14:textId="77777777" w:rsidR="00AC6336" w:rsidRDefault="00AC6336">
            <w:pPr>
              <w:widowControl/>
              <w:ind w:left="-110" w:right="-105"/>
              <w:jc w:val="center"/>
              <w:textAlignment w:val="center"/>
              <w:rPr>
                <w:rFonts w:ascii="仿宋_GB2312" w:eastAsia="仿宋_GB2312" w:cs="仿宋"/>
                <w:color w:val="000000"/>
                <w:kern w:val="0"/>
                <w:sz w:val="18"/>
                <w:szCs w:val="18"/>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D22227"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125,164,060.00 </w:t>
            </w:r>
          </w:p>
        </w:tc>
        <w:tc>
          <w:tcPr>
            <w:tcW w:w="8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751E37" w14:textId="77777777" w:rsidR="00AC6336" w:rsidRDefault="00AC6336">
            <w:pPr>
              <w:widowControl/>
              <w:ind w:left="-119" w:right="-105"/>
              <w:jc w:val="center"/>
              <w:textAlignment w:val="center"/>
              <w:rPr>
                <w:rFonts w:ascii="仿宋_GB2312" w:eastAsia="仿宋_GB2312"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4FB20" w14:textId="77777777" w:rsidR="00AC6336" w:rsidRDefault="00607D1C">
            <w:pPr>
              <w:widowControl/>
              <w:ind w:left="-112"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125,164,060.00 </w:t>
            </w:r>
          </w:p>
        </w:tc>
      </w:tr>
      <w:tr w:rsidR="00AC6336" w14:paraId="32FB4E90" w14:textId="77777777">
        <w:trPr>
          <w:trHeight w:val="270"/>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7AFCB2"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北戴河区</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CF97A" w14:textId="77777777" w:rsidR="00AC6336" w:rsidRDefault="00607D1C">
            <w:pPr>
              <w:widowControl/>
              <w:ind w:left="-118"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34,917.00 </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3B9BBB"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1,288,336.81 </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229AE" w14:textId="77777777" w:rsidR="00AC6336" w:rsidRDefault="00AC6336">
            <w:pPr>
              <w:widowControl/>
              <w:ind w:left="-105" w:right="-105"/>
              <w:jc w:val="center"/>
              <w:textAlignment w:val="center"/>
              <w:rPr>
                <w:rFonts w:ascii="仿宋_GB2312" w:eastAsia="仿宋_GB2312" w:cs="仿宋"/>
                <w:color w:val="000000"/>
                <w:kern w:val="0"/>
                <w:sz w:val="18"/>
                <w:szCs w:val="1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95BC64" w14:textId="77777777" w:rsidR="00AC6336" w:rsidRDefault="00607D1C">
            <w:pPr>
              <w:widowControl/>
              <w:ind w:left="-110"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2,749,864.62 </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6953C5" w14:textId="77777777" w:rsidR="00AC6336" w:rsidRDefault="00AC6336">
            <w:pPr>
              <w:widowControl/>
              <w:ind w:left="-117" w:right="-105"/>
              <w:jc w:val="center"/>
              <w:textAlignment w:val="center"/>
              <w:rPr>
                <w:rFonts w:ascii="仿宋_GB2312" w:eastAsia="仿宋_GB2312" w:cs="仿宋"/>
                <w:color w:val="000000"/>
                <w:kern w:val="0"/>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F87C1" w14:textId="77777777" w:rsidR="00AC6336" w:rsidRDefault="00AC6336">
            <w:pPr>
              <w:widowControl/>
              <w:ind w:left="-119" w:right="-105"/>
              <w:jc w:val="center"/>
              <w:textAlignment w:val="center"/>
              <w:rPr>
                <w:rFonts w:ascii="仿宋_GB2312" w:eastAsia="仿宋_GB2312"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C7D320" w14:textId="77777777" w:rsidR="00AC6336" w:rsidRDefault="00607D1C">
            <w:pPr>
              <w:widowControl/>
              <w:ind w:left="-112"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4,073,118.43 </w:t>
            </w:r>
          </w:p>
        </w:tc>
      </w:tr>
      <w:tr w:rsidR="00AC6336" w14:paraId="50B5703F" w14:textId="77777777">
        <w:trPr>
          <w:trHeight w:val="270"/>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01BF47"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山海关区</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4063F" w14:textId="77777777" w:rsidR="00AC6336" w:rsidRDefault="00607D1C">
            <w:pPr>
              <w:widowControl/>
              <w:ind w:left="-118"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185,270.00 </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077AE"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2,730,130.29 </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3C0B0E" w14:textId="77777777" w:rsidR="00AC6336" w:rsidRDefault="00AC6336">
            <w:pPr>
              <w:widowControl/>
              <w:ind w:left="-105" w:right="-105"/>
              <w:jc w:val="center"/>
              <w:textAlignment w:val="center"/>
              <w:rPr>
                <w:rFonts w:ascii="仿宋_GB2312" w:eastAsia="仿宋_GB2312" w:cs="仿宋"/>
                <w:color w:val="000000"/>
                <w:kern w:val="0"/>
                <w:sz w:val="18"/>
                <w:szCs w:val="1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0DE72" w14:textId="77777777" w:rsidR="00AC6336" w:rsidRDefault="00AC6336">
            <w:pPr>
              <w:widowControl/>
              <w:ind w:left="-110" w:right="-105"/>
              <w:jc w:val="center"/>
              <w:textAlignment w:val="center"/>
              <w:rPr>
                <w:rFonts w:ascii="仿宋_GB2312" w:eastAsia="仿宋_GB2312" w:cs="仿宋"/>
                <w:color w:val="000000"/>
                <w:kern w:val="0"/>
                <w:sz w:val="18"/>
                <w:szCs w:val="18"/>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28465"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134,700.00 </w:t>
            </w:r>
          </w:p>
        </w:tc>
        <w:tc>
          <w:tcPr>
            <w:tcW w:w="8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FDED63" w14:textId="77777777" w:rsidR="00AC6336" w:rsidRDefault="00AC6336">
            <w:pPr>
              <w:widowControl/>
              <w:ind w:left="-119" w:right="-105"/>
              <w:jc w:val="center"/>
              <w:textAlignment w:val="center"/>
              <w:rPr>
                <w:rFonts w:ascii="仿宋_GB2312" w:eastAsia="仿宋_GB2312"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8A882" w14:textId="77777777" w:rsidR="00AC6336" w:rsidRDefault="00607D1C">
            <w:pPr>
              <w:widowControl/>
              <w:ind w:left="-112"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3,050,100.29 </w:t>
            </w:r>
          </w:p>
        </w:tc>
      </w:tr>
      <w:tr w:rsidR="00AC6336" w14:paraId="4F933D7B" w14:textId="77777777">
        <w:trPr>
          <w:trHeight w:val="270"/>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A005D0"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抚宁区</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BF01B" w14:textId="77777777" w:rsidR="00AC6336" w:rsidRDefault="00607D1C">
            <w:pPr>
              <w:widowControl/>
              <w:ind w:left="-118"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66,503.00 </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06F2BB"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2,059,214.25 </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ACF3E" w14:textId="77777777" w:rsidR="00AC6336" w:rsidRDefault="00AC6336">
            <w:pPr>
              <w:widowControl/>
              <w:ind w:left="-105" w:right="-105"/>
              <w:jc w:val="center"/>
              <w:textAlignment w:val="center"/>
              <w:rPr>
                <w:rFonts w:ascii="仿宋_GB2312" w:eastAsia="仿宋_GB2312" w:cs="仿宋"/>
                <w:color w:val="000000"/>
                <w:kern w:val="0"/>
                <w:sz w:val="18"/>
                <w:szCs w:val="1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0D5929" w14:textId="77777777" w:rsidR="00AC6336" w:rsidRDefault="00607D1C">
            <w:pPr>
              <w:widowControl/>
              <w:ind w:left="-110"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444,849.00 </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22595B"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4,322,600.00 </w:t>
            </w:r>
          </w:p>
        </w:tc>
        <w:tc>
          <w:tcPr>
            <w:tcW w:w="8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CABB45" w14:textId="77777777" w:rsidR="00AC6336" w:rsidRDefault="00AC6336">
            <w:pPr>
              <w:widowControl/>
              <w:ind w:left="-119" w:right="-105"/>
              <w:jc w:val="center"/>
              <w:textAlignment w:val="center"/>
              <w:rPr>
                <w:rFonts w:ascii="仿宋_GB2312" w:eastAsia="仿宋_GB2312"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7F1D48" w14:textId="77777777" w:rsidR="00AC6336" w:rsidRDefault="00607D1C">
            <w:pPr>
              <w:widowControl/>
              <w:ind w:left="-112"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6,893,166.25 </w:t>
            </w:r>
          </w:p>
        </w:tc>
      </w:tr>
      <w:tr w:rsidR="00AC6336" w14:paraId="31CB6DC7" w14:textId="77777777">
        <w:trPr>
          <w:trHeight w:val="270"/>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AA67DB"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北戴河新区</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5F2409" w14:textId="77777777" w:rsidR="00AC6336" w:rsidRDefault="00607D1C">
            <w:pPr>
              <w:widowControl/>
              <w:ind w:left="-118"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224,930.70 </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64131"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1,091,788.83 </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FB910" w14:textId="77777777" w:rsidR="00AC6336" w:rsidRDefault="00AC6336">
            <w:pPr>
              <w:widowControl/>
              <w:ind w:left="-105" w:right="-105"/>
              <w:jc w:val="center"/>
              <w:textAlignment w:val="center"/>
              <w:rPr>
                <w:rFonts w:ascii="仿宋_GB2312" w:eastAsia="仿宋_GB2312" w:cs="仿宋"/>
                <w:color w:val="000000"/>
                <w:kern w:val="0"/>
                <w:sz w:val="18"/>
                <w:szCs w:val="1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B607F" w14:textId="77777777" w:rsidR="00AC6336" w:rsidRDefault="00AC6336">
            <w:pPr>
              <w:widowControl/>
              <w:ind w:left="-110" w:right="-105"/>
              <w:jc w:val="center"/>
              <w:textAlignment w:val="center"/>
              <w:rPr>
                <w:rFonts w:ascii="仿宋_GB2312" w:eastAsia="仿宋_GB2312" w:cs="仿宋"/>
                <w:color w:val="000000"/>
                <w:kern w:val="0"/>
                <w:sz w:val="18"/>
                <w:szCs w:val="18"/>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11BF20" w14:textId="77777777" w:rsidR="00AC6336" w:rsidRDefault="00AC6336">
            <w:pPr>
              <w:widowControl/>
              <w:ind w:left="-117" w:right="-105"/>
              <w:jc w:val="center"/>
              <w:textAlignment w:val="center"/>
              <w:rPr>
                <w:rFonts w:ascii="仿宋_GB2312" w:eastAsia="仿宋_GB2312" w:cs="仿宋"/>
                <w:color w:val="000000"/>
                <w:kern w:val="0"/>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DE2A69" w14:textId="77777777" w:rsidR="00AC6336" w:rsidRDefault="00AC6336">
            <w:pPr>
              <w:widowControl/>
              <w:ind w:left="-119" w:right="-105"/>
              <w:jc w:val="center"/>
              <w:textAlignment w:val="center"/>
              <w:rPr>
                <w:rFonts w:ascii="仿宋_GB2312" w:eastAsia="仿宋_GB2312"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0DB452" w14:textId="77777777" w:rsidR="00AC6336" w:rsidRDefault="00607D1C">
            <w:pPr>
              <w:widowControl/>
              <w:ind w:left="-112"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1,316,719.53 </w:t>
            </w:r>
          </w:p>
        </w:tc>
      </w:tr>
      <w:tr w:rsidR="00AC6336" w14:paraId="20284312" w14:textId="77777777">
        <w:trPr>
          <w:trHeight w:val="270"/>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F49C7"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卢龙县</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FE3301" w14:textId="77777777" w:rsidR="00AC6336" w:rsidRDefault="00607D1C">
            <w:pPr>
              <w:widowControl/>
              <w:ind w:left="-118"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1,783,255.00 </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F793CB"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1,156,430.74 </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D91EA" w14:textId="77777777" w:rsidR="00AC6336" w:rsidRDefault="00AC6336">
            <w:pPr>
              <w:widowControl/>
              <w:ind w:left="-105" w:right="-105"/>
              <w:jc w:val="center"/>
              <w:textAlignment w:val="center"/>
              <w:rPr>
                <w:rFonts w:ascii="仿宋_GB2312" w:eastAsia="仿宋_GB2312" w:cs="仿宋"/>
                <w:color w:val="000000"/>
                <w:kern w:val="0"/>
                <w:sz w:val="18"/>
                <w:szCs w:val="18"/>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37634" w14:textId="77777777" w:rsidR="00AC6336" w:rsidRDefault="00AC6336">
            <w:pPr>
              <w:widowControl/>
              <w:ind w:left="-110" w:right="-105"/>
              <w:jc w:val="center"/>
              <w:textAlignment w:val="center"/>
              <w:rPr>
                <w:rFonts w:ascii="仿宋_GB2312" w:eastAsia="仿宋_GB2312" w:cs="仿宋"/>
                <w:color w:val="000000"/>
                <w:kern w:val="0"/>
                <w:sz w:val="18"/>
                <w:szCs w:val="18"/>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DA8B92"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2,486,000.00 </w:t>
            </w:r>
          </w:p>
        </w:tc>
        <w:tc>
          <w:tcPr>
            <w:tcW w:w="8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9426C" w14:textId="77777777" w:rsidR="00AC6336" w:rsidRDefault="00AC6336">
            <w:pPr>
              <w:widowControl/>
              <w:ind w:left="-119" w:right="-105"/>
              <w:jc w:val="center"/>
              <w:textAlignment w:val="center"/>
              <w:rPr>
                <w:rFonts w:ascii="仿宋_GB2312" w:eastAsia="仿宋_GB2312"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E5EFAB" w14:textId="77777777" w:rsidR="00AC6336" w:rsidRDefault="00607D1C">
            <w:pPr>
              <w:widowControl/>
              <w:ind w:left="-112"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5,425,685.74 </w:t>
            </w:r>
          </w:p>
        </w:tc>
      </w:tr>
      <w:tr w:rsidR="00AC6336" w14:paraId="1F3A8A0B" w14:textId="77777777">
        <w:trPr>
          <w:trHeight w:val="270"/>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1DC1C"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昌黎县</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5FE75" w14:textId="77777777" w:rsidR="00AC6336" w:rsidRDefault="00607D1C">
            <w:pPr>
              <w:widowControl/>
              <w:ind w:left="-118"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31,308.00 </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F91A4"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3,230,863.47 </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0310D3" w14:textId="77777777" w:rsidR="00AC6336" w:rsidRDefault="00607D1C">
            <w:pPr>
              <w:widowControl/>
              <w:ind w:left="-105"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5,241,368.00 </w:t>
            </w: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95D19" w14:textId="77777777" w:rsidR="00AC6336" w:rsidRDefault="00AC6336">
            <w:pPr>
              <w:widowControl/>
              <w:ind w:left="-110" w:right="-105"/>
              <w:jc w:val="center"/>
              <w:textAlignment w:val="center"/>
              <w:rPr>
                <w:rFonts w:ascii="仿宋_GB2312" w:eastAsia="仿宋_GB2312" w:cs="仿宋"/>
                <w:color w:val="000000"/>
                <w:kern w:val="0"/>
                <w:sz w:val="18"/>
                <w:szCs w:val="18"/>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6557E2" w14:textId="77777777" w:rsidR="00AC6336" w:rsidRDefault="00AC6336">
            <w:pPr>
              <w:widowControl/>
              <w:ind w:left="-117" w:right="-105"/>
              <w:jc w:val="center"/>
              <w:textAlignment w:val="center"/>
              <w:rPr>
                <w:rFonts w:ascii="仿宋_GB2312" w:eastAsia="仿宋_GB2312" w:cs="仿宋"/>
                <w:color w:val="000000"/>
                <w:kern w:val="0"/>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E93DBD" w14:textId="77777777" w:rsidR="00AC6336" w:rsidRDefault="00AC6336">
            <w:pPr>
              <w:widowControl/>
              <w:ind w:left="-119" w:right="-105"/>
              <w:jc w:val="center"/>
              <w:textAlignment w:val="center"/>
              <w:rPr>
                <w:rFonts w:ascii="仿宋_GB2312" w:eastAsia="仿宋_GB2312"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23DD3" w14:textId="77777777" w:rsidR="00AC6336" w:rsidRDefault="00607D1C">
            <w:pPr>
              <w:widowControl/>
              <w:ind w:left="-112"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8,503,539.47 </w:t>
            </w:r>
          </w:p>
        </w:tc>
      </w:tr>
      <w:tr w:rsidR="00AC6336" w14:paraId="02CEFE66" w14:textId="77777777">
        <w:trPr>
          <w:trHeight w:val="270"/>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CE78ED"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青龙县</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1E707" w14:textId="77777777" w:rsidR="00AC6336" w:rsidRDefault="00607D1C">
            <w:pPr>
              <w:widowControl/>
              <w:ind w:left="-118"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700.00 </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08C399"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2,230,139.16 </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48611" w14:textId="77777777" w:rsidR="00AC6336" w:rsidRDefault="00607D1C">
            <w:pPr>
              <w:widowControl/>
              <w:ind w:left="-105"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938,199.00 </w:t>
            </w: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D830F1" w14:textId="77777777" w:rsidR="00AC6336" w:rsidRDefault="00AC6336">
            <w:pPr>
              <w:widowControl/>
              <w:ind w:left="-110" w:right="-105"/>
              <w:jc w:val="center"/>
              <w:textAlignment w:val="center"/>
              <w:rPr>
                <w:rFonts w:ascii="仿宋_GB2312" w:eastAsia="仿宋_GB2312" w:cs="仿宋"/>
                <w:color w:val="000000"/>
                <w:kern w:val="0"/>
                <w:sz w:val="18"/>
                <w:szCs w:val="18"/>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A3D35" w14:textId="77777777" w:rsidR="00AC6336" w:rsidRDefault="00AC6336">
            <w:pPr>
              <w:widowControl/>
              <w:ind w:left="-117" w:right="-105"/>
              <w:jc w:val="center"/>
              <w:textAlignment w:val="center"/>
              <w:rPr>
                <w:rFonts w:ascii="仿宋_GB2312" w:eastAsia="仿宋_GB2312" w:cs="仿宋"/>
                <w:color w:val="000000"/>
                <w:kern w:val="0"/>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6AE1D0" w14:textId="77777777" w:rsidR="00AC6336" w:rsidRDefault="00AC6336">
            <w:pPr>
              <w:widowControl/>
              <w:ind w:left="-119" w:right="-105"/>
              <w:jc w:val="center"/>
              <w:textAlignment w:val="center"/>
              <w:rPr>
                <w:rFonts w:ascii="仿宋_GB2312" w:eastAsia="仿宋_GB2312" w:cs="仿宋"/>
                <w:color w:val="000000"/>
                <w:kern w:val="0"/>
                <w:sz w:val="18"/>
                <w:szCs w:val="18"/>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65ADF3" w14:textId="77777777" w:rsidR="00AC6336" w:rsidRDefault="00607D1C">
            <w:pPr>
              <w:widowControl/>
              <w:ind w:left="-112"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3,169,038.16 </w:t>
            </w:r>
          </w:p>
        </w:tc>
      </w:tr>
      <w:tr w:rsidR="00AC6336" w14:paraId="773050D2" w14:textId="77777777">
        <w:trPr>
          <w:trHeight w:val="270"/>
          <w:jc w:val="center"/>
        </w:trPr>
        <w:tc>
          <w:tcPr>
            <w:tcW w:w="13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24E98" w14:textId="77777777" w:rsidR="00AC6336" w:rsidRDefault="00607D1C">
            <w:pPr>
              <w:widowControl/>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合计</w:t>
            </w:r>
          </w:p>
        </w:tc>
        <w:tc>
          <w:tcPr>
            <w:tcW w:w="12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8DF843" w14:textId="77777777" w:rsidR="00AC6336" w:rsidRDefault="00607D1C">
            <w:pPr>
              <w:widowControl/>
              <w:ind w:left="-118"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3,393,372.57 </w:t>
            </w:r>
          </w:p>
        </w:tc>
        <w:tc>
          <w:tcPr>
            <w:tcW w:w="13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9E10E"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15,891,851.50 </w:t>
            </w:r>
          </w:p>
        </w:tc>
        <w:tc>
          <w:tcPr>
            <w:tcW w:w="13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BB133" w14:textId="77777777" w:rsidR="00AC6336" w:rsidRDefault="00607D1C">
            <w:pPr>
              <w:widowControl/>
              <w:ind w:left="-105"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11,862,467.30 </w:t>
            </w:r>
          </w:p>
        </w:tc>
        <w:tc>
          <w:tcPr>
            <w:tcW w:w="13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89C692" w14:textId="77777777" w:rsidR="00AC6336" w:rsidRDefault="00607D1C">
            <w:pPr>
              <w:widowControl/>
              <w:ind w:left="-110"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3,194,713.62 </w:t>
            </w:r>
          </w:p>
        </w:tc>
        <w:tc>
          <w:tcPr>
            <w:tcW w:w="1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3AF1A" w14:textId="77777777" w:rsidR="00AC6336" w:rsidRDefault="00607D1C">
            <w:pPr>
              <w:widowControl/>
              <w:ind w:left="-117"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200,290,360.00 </w:t>
            </w:r>
          </w:p>
        </w:tc>
        <w:tc>
          <w:tcPr>
            <w:tcW w:w="84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126AE" w14:textId="77777777" w:rsidR="00AC6336" w:rsidRDefault="00607D1C">
            <w:pPr>
              <w:widowControl/>
              <w:ind w:left="-119"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433.00 </w:t>
            </w:r>
          </w:p>
        </w:tc>
        <w:tc>
          <w:tcPr>
            <w:tcW w:w="157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59777" w14:textId="77777777" w:rsidR="00AC6336" w:rsidRDefault="00607D1C">
            <w:pPr>
              <w:widowControl/>
              <w:ind w:left="-112" w:right="-105"/>
              <w:jc w:val="center"/>
              <w:textAlignment w:val="center"/>
              <w:rPr>
                <w:rFonts w:ascii="仿宋_GB2312" w:eastAsia="仿宋_GB2312" w:cs="仿宋"/>
                <w:color w:val="000000"/>
                <w:kern w:val="0"/>
                <w:sz w:val="18"/>
                <w:szCs w:val="18"/>
              </w:rPr>
            </w:pPr>
            <w:r>
              <w:rPr>
                <w:rFonts w:ascii="仿宋_GB2312" w:eastAsia="仿宋_GB2312" w:cs="仿宋" w:hint="eastAsia"/>
                <w:color w:val="000000"/>
                <w:kern w:val="0"/>
                <w:sz w:val="18"/>
                <w:szCs w:val="18"/>
              </w:rPr>
              <w:t xml:space="preserve">234,633,197.99 </w:t>
            </w:r>
          </w:p>
        </w:tc>
      </w:tr>
    </w:tbl>
    <w:p w14:paraId="13998905" w14:textId="77777777" w:rsidR="00AC6336" w:rsidRDefault="00607D1C">
      <w:pPr>
        <w:pStyle w:val="3"/>
        <w:spacing w:before="0" w:after="0" w:line="500" w:lineRule="exact"/>
        <w:rPr>
          <w:rFonts w:ascii="仿宋_GB2312" w:eastAsia="仿宋_GB2312" w:cs="仿宋"/>
          <w:color w:val="000000"/>
          <w:kern w:val="0"/>
          <w:sz w:val="28"/>
          <w:szCs w:val="28"/>
        </w:rPr>
      </w:pPr>
      <w:r>
        <w:rPr>
          <w:rFonts w:ascii="仿宋" w:eastAsia="仿宋" w:cs="仿宋" w:hint="eastAsia"/>
          <w:color w:val="000000"/>
          <w:kern w:val="0"/>
          <w:sz w:val="28"/>
          <w:szCs w:val="28"/>
        </w:rPr>
        <w:t>（四）</w:t>
      </w:r>
      <w:r>
        <w:rPr>
          <w:rFonts w:ascii="仿宋_GB2312" w:eastAsia="仿宋_GB2312" w:cs="仿宋" w:hint="eastAsia"/>
          <w:color w:val="000000"/>
          <w:kern w:val="0"/>
          <w:sz w:val="28"/>
          <w:szCs w:val="28"/>
        </w:rPr>
        <w:t>项目资金实际支出情况</w:t>
      </w:r>
    </w:p>
    <w:p w14:paraId="042A519F" w14:textId="77777777" w:rsidR="00AC6336" w:rsidRDefault="00607D1C">
      <w:p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t>活动共支付各商户消费券资金1138.6316万元（其中：财政资金支付910.90528万元，建行资金支付227.72632万元），尚欠0.675万元未支付，</w:t>
      </w:r>
      <w:r>
        <w:rPr>
          <w:rFonts w:ascii="仿宋" w:eastAsia="仿宋" w:cs="仿宋" w:hint="eastAsia"/>
          <w:color w:val="000000"/>
          <w:kern w:val="0"/>
          <w:sz w:val="28"/>
          <w:szCs w:val="28"/>
        </w:rPr>
        <w:t>按照区域分，海港区未支付0.191万元，山海关区未支付0.484万元；按照未支付商户分，具体为：秦皇岛丽都国际酒店有限公司700元，秦皇岛山楂树餐饮服务有限公司80元，秦皇岛市如意云天酒店管理有限公司20元，秦皇岛市羊城酒店有限责任公司1110元，秦皇岛市宇泉餐饮服务有限公司4840元</w:t>
      </w:r>
      <w:r>
        <w:rPr>
          <w:rFonts w:ascii="仿宋_GB2312" w:eastAsia="仿宋_GB2312" w:cs="仿宋" w:hint="eastAsia"/>
          <w:color w:val="000000"/>
          <w:kern w:val="0"/>
          <w:sz w:val="28"/>
          <w:szCs w:val="28"/>
        </w:rPr>
        <w:t>。按照实际支付金额计算，结余资金28.2809万元，其中财政资金结余22.62472万元，建行资金结余5.65618万元，具体付款及欠款情况如下：</w:t>
      </w:r>
    </w:p>
    <w:p w14:paraId="6689FB34" w14:textId="77777777" w:rsidR="00AC6336" w:rsidRDefault="00607D1C">
      <w:pPr>
        <w:adjustRightInd w:val="0"/>
        <w:snapToGrid w:val="0"/>
        <w:spacing w:line="500" w:lineRule="exact"/>
        <w:ind w:firstLineChars="200" w:firstLine="560"/>
        <w:rPr>
          <w:rFonts w:ascii="仿宋" w:eastAsia="仿宋" w:cs="仿宋"/>
          <w:color w:val="000000"/>
          <w:kern w:val="0"/>
          <w:sz w:val="28"/>
          <w:szCs w:val="28"/>
        </w:rPr>
      </w:pPr>
      <w:r>
        <w:rPr>
          <w:rFonts w:ascii="仿宋_GB2312" w:eastAsia="仿宋_GB2312" w:cs="仿宋" w:hint="eastAsia"/>
          <w:color w:val="000000"/>
          <w:kern w:val="0"/>
          <w:sz w:val="28"/>
          <w:szCs w:val="28"/>
        </w:rPr>
        <w:t>付款情况如下</w:t>
      </w:r>
      <w:r>
        <w:rPr>
          <w:rFonts w:ascii="仿宋" w:eastAsia="仿宋" w:cs="仿宋" w:hint="eastAsia"/>
          <w:color w:val="000000"/>
          <w:kern w:val="0"/>
          <w:sz w:val="28"/>
          <w:szCs w:val="28"/>
        </w:rPr>
        <w:t xml:space="preserve">：                                                                                 </w:t>
      </w:r>
    </w:p>
    <w:tbl>
      <w:tblPr>
        <w:tblW w:w="935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0"/>
        <w:gridCol w:w="882"/>
        <w:gridCol w:w="1134"/>
        <w:gridCol w:w="1275"/>
        <w:gridCol w:w="1134"/>
        <w:gridCol w:w="1276"/>
        <w:gridCol w:w="992"/>
        <w:gridCol w:w="1418"/>
      </w:tblGrid>
      <w:tr w:rsidR="00AC6336" w14:paraId="2B8DD19A" w14:textId="77777777">
        <w:trPr>
          <w:trHeight w:val="270"/>
        </w:trPr>
        <w:tc>
          <w:tcPr>
            <w:tcW w:w="9351" w:type="dxa"/>
            <w:gridSpan w:val="8"/>
            <w:tcBorders>
              <w:top w:val="nil"/>
              <w:left w:val="nil"/>
              <w:bottom w:val="single" w:sz="4" w:space="0" w:color="auto"/>
              <w:right w:val="nil"/>
              <w:tl2br w:val="nil"/>
              <w:tr2bl w:val="nil"/>
            </w:tcBorders>
            <w:shd w:val="clear" w:color="auto" w:fill="auto"/>
            <w:noWrap/>
            <w:vAlign w:val="center"/>
          </w:tcPr>
          <w:p w14:paraId="5676EDCE" w14:textId="77777777" w:rsidR="00AC6336" w:rsidRDefault="00607D1C">
            <w:pPr>
              <w:widowControl/>
              <w:jc w:val="right"/>
              <w:rPr>
                <w:rFonts w:ascii="仿宋_GB2312" w:eastAsia="仿宋_GB2312" w:cs="宋体"/>
                <w:color w:val="000000"/>
                <w:kern w:val="0"/>
                <w:sz w:val="18"/>
                <w:szCs w:val="18"/>
              </w:rPr>
            </w:pPr>
            <w:r>
              <w:rPr>
                <w:rFonts w:ascii="仿宋_GB2312" w:eastAsia="仿宋_GB2312" w:cs="仿宋" w:hint="eastAsia"/>
                <w:color w:val="000000"/>
                <w:kern w:val="0"/>
                <w:sz w:val="18"/>
                <w:szCs w:val="18"/>
              </w:rPr>
              <w:t>单位：万元</w:t>
            </w:r>
          </w:p>
        </w:tc>
      </w:tr>
      <w:tr w:rsidR="00AC6336" w14:paraId="3DC53BB6" w14:textId="77777777">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ECBA5"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项目及区域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77CD1"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餐饮类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C2BC6"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商超类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84090"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家电类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1DB41"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成品油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20F"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汽车类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9F69E"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旅游类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6FE44"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合计 </w:t>
            </w:r>
          </w:p>
        </w:tc>
      </w:tr>
      <w:tr w:rsidR="00AC6336" w14:paraId="5FD7E41F" w14:textId="77777777">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09A1F"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海港区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56B69"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20.6250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64DF3"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51.9660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91C9A"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52.1400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AF1B2"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72AE1"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153.5000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4E52F"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0.0096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92833"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278.2406</w:t>
            </w:r>
          </w:p>
        </w:tc>
      </w:tr>
      <w:tr w:rsidR="00AC6336" w14:paraId="358B3B50" w14:textId="77777777">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770EB"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开发区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3EAA5"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D9EC6"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0DBCF"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D71C9"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300D8"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293.2000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40343"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DDBF0"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293.2000</w:t>
            </w:r>
          </w:p>
        </w:tc>
      </w:tr>
      <w:tr w:rsidR="00AC6336" w14:paraId="3D755C53" w14:textId="77777777">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F3D96"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北戴河区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A6EF1"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0.5830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F1061"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33.1930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44AC1"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4AF25"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65.7200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000E5"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F44F5"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536D4"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99.4960</w:t>
            </w:r>
          </w:p>
        </w:tc>
      </w:tr>
      <w:tr w:rsidR="00AC6336" w14:paraId="2C674286" w14:textId="77777777">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3B8EA"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山海关区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9BDE7"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2.9280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71909"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69.5950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87177"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5E489"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D0A5F"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3DDF7"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72586"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72.9230</w:t>
            </w:r>
          </w:p>
        </w:tc>
      </w:tr>
      <w:tr w:rsidR="00AC6336" w14:paraId="637FD4A2" w14:textId="77777777">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6FD50A"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抚宁区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CA99D"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1.0910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3C2B9"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56.7740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2397B"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3EA58"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9.8770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1F076"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9.4000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2A512"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3AB50"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77.1420</w:t>
            </w:r>
          </w:p>
        </w:tc>
      </w:tr>
      <w:tr w:rsidR="00AC6336" w14:paraId="7990EB62" w14:textId="77777777">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D2A03"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北戴河新区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182CB"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5.8310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36716"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27.9940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67974"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E3567"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3773A"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1B87F"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FC478"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33.8250</w:t>
            </w:r>
          </w:p>
        </w:tc>
      </w:tr>
      <w:tr w:rsidR="00AC6336" w14:paraId="79533A28" w14:textId="77777777">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30CDB"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卢龙县</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109F2"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38.3470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76154"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29.1940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DBA3F"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EB77D"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1FD84"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8.5000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79941"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F2675"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76.0410</w:t>
            </w:r>
          </w:p>
        </w:tc>
      </w:tr>
      <w:tr w:rsidR="00AC6336" w14:paraId="695B1F53" w14:textId="77777777">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B00B4"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昌黎县</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6A9B8"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0.6380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9D7C0"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80.3070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6CDC5"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50.2200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E36C"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16C97"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FCC32"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99738"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131.1650</w:t>
            </w:r>
          </w:p>
        </w:tc>
      </w:tr>
      <w:tr w:rsidR="00AC6336" w14:paraId="223FC75A" w14:textId="77777777">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DA724"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青龙县</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1F0CF"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0.0150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02226"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63.8240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AC354"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12.7600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437D9"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F3A80"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422F5"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DDE8E"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76.5990</w:t>
            </w:r>
          </w:p>
        </w:tc>
      </w:tr>
      <w:tr w:rsidR="00AC6336" w14:paraId="0A3EA06D" w14:textId="77777777">
        <w:trPr>
          <w:trHeight w:val="27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F9267"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合计</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03091"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70.0580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3F887"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412.8470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22252"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115.1200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B5E02"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75.5970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251BC"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465.0000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67F6D"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0.0096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3422E"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1,138.6316</w:t>
            </w:r>
          </w:p>
        </w:tc>
      </w:tr>
    </w:tbl>
    <w:p w14:paraId="1F9D348A" w14:textId="77777777" w:rsidR="00AC6336" w:rsidRDefault="00607D1C">
      <w:pPr>
        <w:adjustRightInd w:val="0"/>
        <w:snapToGrid w:val="0"/>
        <w:spacing w:line="500" w:lineRule="exact"/>
        <w:ind w:firstLineChars="200" w:firstLine="560"/>
        <w:rPr>
          <w:rFonts w:ascii="仿宋_GB2312" w:eastAsia="仿宋_GB2312" w:cs="仿宋"/>
          <w:color w:val="000000"/>
          <w:kern w:val="0"/>
          <w:sz w:val="28"/>
          <w:szCs w:val="28"/>
        </w:rPr>
      </w:pPr>
      <w:r>
        <w:rPr>
          <w:rFonts w:ascii="仿宋_GB2312" w:eastAsia="仿宋_GB2312" w:cs="仿宋" w:hint="eastAsia"/>
          <w:color w:val="000000"/>
          <w:kern w:val="0"/>
          <w:sz w:val="28"/>
          <w:szCs w:val="28"/>
        </w:rPr>
        <w:t>欠款情况如下：</w:t>
      </w:r>
    </w:p>
    <w:tbl>
      <w:tblPr>
        <w:tblW w:w="9351" w:type="dxa"/>
        <w:tblLook w:val="04A0" w:firstRow="1" w:lastRow="0" w:firstColumn="1" w:lastColumn="0" w:noHBand="0" w:noVBand="1"/>
      </w:tblPr>
      <w:tblGrid>
        <w:gridCol w:w="1413"/>
        <w:gridCol w:w="992"/>
        <w:gridCol w:w="992"/>
        <w:gridCol w:w="993"/>
        <w:gridCol w:w="992"/>
        <w:gridCol w:w="1417"/>
        <w:gridCol w:w="1134"/>
        <w:gridCol w:w="1418"/>
      </w:tblGrid>
      <w:tr w:rsidR="00AC6336" w14:paraId="1BCF1D11" w14:textId="77777777">
        <w:trPr>
          <w:trHeight w:val="270"/>
        </w:trPr>
        <w:tc>
          <w:tcPr>
            <w:tcW w:w="9351" w:type="dxa"/>
            <w:gridSpan w:val="8"/>
            <w:tcBorders>
              <w:top w:val="nil"/>
              <w:left w:val="nil"/>
              <w:bottom w:val="single" w:sz="4" w:space="0" w:color="auto"/>
              <w:right w:val="nil"/>
              <w:tl2br w:val="nil"/>
              <w:tr2bl w:val="nil"/>
            </w:tcBorders>
            <w:shd w:val="clear" w:color="auto" w:fill="auto"/>
            <w:noWrap/>
            <w:vAlign w:val="center"/>
          </w:tcPr>
          <w:p w14:paraId="6CF55BC9" w14:textId="77777777" w:rsidR="00AC6336" w:rsidRDefault="00607D1C">
            <w:pPr>
              <w:widowControl/>
              <w:jc w:val="right"/>
              <w:rPr>
                <w:rFonts w:ascii="仿宋_GB2312" w:eastAsia="仿宋_GB2312" w:cs="宋体"/>
                <w:color w:val="000000"/>
                <w:kern w:val="0"/>
                <w:sz w:val="18"/>
                <w:szCs w:val="18"/>
              </w:rPr>
            </w:pPr>
            <w:r>
              <w:rPr>
                <w:rFonts w:ascii="仿宋_GB2312" w:eastAsia="仿宋_GB2312" w:cs="仿宋" w:hint="eastAsia"/>
                <w:color w:val="000000"/>
                <w:kern w:val="0"/>
                <w:sz w:val="18"/>
                <w:szCs w:val="18"/>
              </w:rPr>
              <w:t>单位：万元</w:t>
            </w:r>
          </w:p>
        </w:tc>
      </w:tr>
      <w:tr w:rsidR="00AC6336" w14:paraId="3E73D048" w14:textId="77777777">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AD024"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项目及区域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FF369"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餐饮类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9C035"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商超类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FB2E2"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家电类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E44DE"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成品油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4DE67"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汽车类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4E286"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旅游类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2DEA3" w14:textId="77777777" w:rsidR="00AC6336" w:rsidRDefault="00607D1C">
            <w:pPr>
              <w:widowControl/>
              <w:jc w:val="center"/>
              <w:rPr>
                <w:rFonts w:ascii="仿宋_GB2312" w:eastAsia="仿宋_GB2312" w:cs="宋体"/>
                <w:b/>
                <w:bCs/>
                <w:color w:val="000000"/>
                <w:kern w:val="0"/>
                <w:sz w:val="18"/>
                <w:szCs w:val="18"/>
              </w:rPr>
            </w:pPr>
            <w:r>
              <w:rPr>
                <w:rFonts w:ascii="仿宋_GB2312" w:eastAsia="仿宋_GB2312" w:cs="宋体" w:hint="eastAsia"/>
                <w:b/>
                <w:bCs/>
                <w:color w:val="000000"/>
                <w:kern w:val="0"/>
                <w:sz w:val="18"/>
                <w:szCs w:val="18"/>
              </w:rPr>
              <w:t xml:space="preserve"> 合计 </w:t>
            </w:r>
          </w:p>
        </w:tc>
      </w:tr>
      <w:tr w:rsidR="00AC6336" w14:paraId="4AF56E1C" w14:textId="77777777">
        <w:trPr>
          <w:trHeight w:val="27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A356A"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海港区</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EB02CDA"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7B57F16"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8D94B4E"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2AC0C8"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32A381"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B76673"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E23AC5"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0.191</w:t>
            </w:r>
          </w:p>
        </w:tc>
      </w:tr>
      <w:tr w:rsidR="00AC6336" w14:paraId="6EFD4F89" w14:textId="77777777">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448DFA25"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山海关区</w:t>
            </w:r>
          </w:p>
        </w:tc>
        <w:tc>
          <w:tcPr>
            <w:tcW w:w="992" w:type="dxa"/>
            <w:tcBorders>
              <w:top w:val="nil"/>
              <w:left w:val="nil"/>
              <w:bottom w:val="single" w:sz="4" w:space="0" w:color="auto"/>
              <w:right w:val="single" w:sz="4" w:space="0" w:color="auto"/>
            </w:tcBorders>
            <w:shd w:val="clear" w:color="auto" w:fill="auto"/>
            <w:noWrap/>
            <w:vAlign w:val="center"/>
          </w:tcPr>
          <w:p w14:paraId="15C22C58"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0.484</w:t>
            </w:r>
          </w:p>
        </w:tc>
        <w:tc>
          <w:tcPr>
            <w:tcW w:w="992" w:type="dxa"/>
            <w:tcBorders>
              <w:top w:val="nil"/>
              <w:left w:val="nil"/>
              <w:bottom w:val="single" w:sz="4" w:space="0" w:color="auto"/>
              <w:right w:val="single" w:sz="4" w:space="0" w:color="auto"/>
            </w:tcBorders>
            <w:shd w:val="clear" w:color="auto" w:fill="auto"/>
            <w:noWrap/>
            <w:vAlign w:val="center"/>
          </w:tcPr>
          <w:p w14:paraId="552BE9B5"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14:paraId="10B1B85F"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CFAD268"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0D66949C"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35FDA52"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14:paraId="7F4757B9"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0.484</w:t>
            </w:r>
          </w:p>
        </w:tc>
      </w:tr>
      <w:tr w:rsidR="00AC6336" w14:paraId="01CD48EF" w14:textId="77777777">
        <w:trPr>
          <w:trHeight w:val="270"/>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06E13A60"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合计</w:t>
            </w:r>
          </w:p>
        </w:tc>
        <w:tc>
          <w:tcPr>
            <w:tcW w:w="992" w:type="dxa"/>
            <w:tcBorders>
              <w:top w:val="nil"/>
              <w:left w:val="nil"/>
              <w:bottom w:val="single" w:sz="4" w:space="0" w:color="auto"/>
              <w:right w:val="single" w:sz="4" w:space="0" w:color="auto"/>
            </w:tcBorders>
            <w:shd w:val="clear" w:color="auto" w:fill="auto"/>
            <w:noWrap/>
            <w:vAlign w:val="center"/>
          </w:tcPr>
          <w:p w14:paraId="0989353E"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0.675</w:t>
            </w:r>
          </w:p>
        </w:tc>
        <w:tc>
          <w:tcPr>
            <w:tcW w:w="992" w:type="dxa"/>
            <w:tcBorders>
              <w:top w:val="nil"/>
              <w:left w:val="nil"/>
              <w:bottom w:val="single" w:sz="4" w:space="0" w:color="auto"/>
              <w:right w:val="single" w:sz="4" w:space="0" w:color="auto"/>
            </w:tcBorders>
            <w:shd w:val="clear" w:color="auto" w:fill="auto"/>
            <w:noWrap/>
            <w:vAlign w:val="center"/>
          </w:tcPr>
          <w:p w14:paraId="6FCC401F"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993" w:type="dxa"/>
            <w:tcBorders>
              <w:top w:val="nil"/>
              <w:left w:val="nil"/>
              <w:bottom w:val="single" w:sz="4" w:space="0" w:color="auto"/>
              <w:right w:val="single" w:sz="4" w:space="0" w:color="auto"/>
            </w:tcBorders>
            <w:shd w:val="clear" w:color="auto" w:fill="auto"/>
            <w:noWrap/>
            <w:vAlign w:val="center"/>
          </w:tcPr>
          <w:p w14:paraId="09C4D2BC"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5ED5384F"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34DE0983"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451FC620"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w:t>
            </w:r>
          </w:p>
        </w:tc>
        <w:tc>
          <w:tcPr>
            <w:tcW w:w="1418" w:type="dxa"/>
            <w:tcBorders>
              <w:top w:val="nil"/>
              <w:left w:val="nil"/>
              <w:bottom w:val="single" w:sz="4" w:space="0" w:color="auto"/>
              <w:right w:val="single" w:sz="4" w:space="0" w:color="auto"/>
            </w:tcBorders>
            <w:shd w:val="clear" w:color="auto" w:fill="auto"/>
            <w:noWrap/>
            <w:vAlign w:val="center"/>
          </w:tcPr>
          <w:p w14:paraId="6F0083CD" w14:textId="77777777" w:rsidR="00AC6336" w:rsidRDefault="00607D1C">
            <w:pPr>
              <w:widowControl/>
              <w:jc w:val="center"/>
              <w:rPr>
                <w:rFonts w:ascii="仿宋_GB2312" w:eastAsia="仿宋_GB2312" w:cs="宋体"/>
                <w:color w:val="000000"/>
                <w:kern w:val="0"/>
                <w:sz w:val="18"/>
                <w:szCs w:val="18"/>
              </w:rPr>
            </w:pPr>
            <w:r>
              <w:rPr>
                <w:rFonts w:ascii="仿宋_GB2312" w:eastAsia="仿宋_GB2312" w:cs="宋体" w:hint="eastAsia"/>
                <w:color w:val="000000"/>
                <w:kern w:val="0"/>
                <w:sz w:val="18"/>
                <w:szCs w:val="18"/>
              </w:rPr>
              <w:t>0.6750</w:t>
            </w:r>
          </w:p>
        </w:tc>
      </w:tr>
    </w:tbl>
    <w:p w14:paraId="3B73BD3C" w14:textId="77777777" w:rsidR="00AC6336" w:rsidRDefault="00607D1C">
      <w:pPr>
        <w:adjustRightInd w:val="0"/>
        <w:snapToGrid w:val="0"/>
        <w:spacing w:line="500" w:lineRule="exact"/>
        <w:ind w:firstLineChars="200" w:firstLine="562"/>
        <w:rPr>
          <w:rFonts w:ascii="仿宋_GB2312" w:eastAsia="仿宋_GB2312" w:cs="仿宋"/>
          <w:b/>
          <w:color w:val="000000"/>
          <w:kern w:val="0"/>
          <w:sz w:val="28"/>
          <w:szCs w:val="28"/>
        </w:rPr>
      </w:pPr>
      <w:r>
        <w:rPr>
          <w:rFonts w:ascii="仿宋_GB2312" w:eastAsia="仿宋_GB2312" w:cs="仿宋" w:hint="eastAsia"/>
          <w:b/>
          <w:color w:val="000000"/>
          <w:kern w:val="0"/>
          <w:sz w:val="28"/>
          <w:szCs w:val="28"/>
        </w:rPr>
        <w:lastRenderedPageBreak/>
        <w:t>二、评价结论</w:t>
      </w:r>
    </w:p>
    <w:p w14:paraId="622F7A6B" w14:textId="77777777" w:rsidR="00AC6336" w:rsidRDefault="00607D1C">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评价工作组通过访谈、调查、资料采集和复核、数据分析、现场调研等方法，对市外事商务局2022年消费促销活动项目绩效进行客观评价，最终评分结果：绩效评价综合得分为81.70分，其中：管理绩效指标得分31.70分，结果绩效指标得分50分，绩效评价等级为“良”。</w:t>
      </w:r>
    </w:p>
    <w:p w14:paraId="5278409F" w14:textId="77777777" w:rsidR="00AC6336" w:rsidRDefault="00607D1C">
      <w:pPr>
        <w:adjustRightInd w:val="0"/>
        <w:snapToGrid w:val="0"/>
        <w:spacing w:line="500" w:lineRule="exact"/>
        <w:ind w:firstLineChars="200" w:firstLine="562"/>
        <w:rPr>
          <w:rFonts w:ascii="仿宋_GB2312" w:eastAsia="仿宋_GB2312" w:cs="仿宋"/>
          <w:b/>
          <w:color w:val="000000"/>
          <w:kern w:val="0"/>
          <w:sz w:val="28"/>
          <w:szCs w:val="28"/>
        </w:rPr>
      </w:pPr>
      <w:r>
        <w:rPr>
          <w:rFonts w:ascii="仿宋_GB2312" w:eastAsia="仿宋_GB2312" w:cs="仿宋" w:hint="eastAsia"/>
          <w:b/>
          <w:color w:val="000000"/>
          <w:kern w:val="0"/>
          <w:sz w:val="28"/>
          <w:szCs w:val="28"/>
        </w:rPr>
        <w:t>三、存在问题</w:t>
      </w:r>
    </w:p>
    <w:p w14:paraId="6A540739" w14:textId="77777777" w:rsidR="00AC6336" w:rsidRDefault="00607D1C">
      <w:pPr>
        <w:adjustRightInd w:val="0"/>
        <w:snapToGrid w:val="0"/>
        <w:spacing w:line="500" w:lineRule="exact"/>
        <w:ind w:firstLineChars="200" w:firstLine="562"/>
        <w:rPr>
          <w:rFonts w:ascii="仿宋_GB2312" w:eastAsia="仿宋_GB2312" w:cs="仿宋"/>
          <w:b/>
          <w:bCs/>
          <w:sz w:val="28"/>
          <w:szCs w:val="28"/>
        </w:rPr>
      </w:pPr>
      <w:bookmarkStart w:id="0" w:name="_Toc10740"/>
      <w:bookmarkStart w:id="1" w:name="_Toc2068"/>
      <w:bookmarkStart w:id="2" w:name="_Toc28417"/>
      <w:r>
        <w:rPr>
          <w:rFonts w:ascii="仿宋_GB2312" w:eastAsia="仿宋_GB2312" w:cs="仿宋" w:hint="eastAsia"/>
          <w:b/>
          <w:bCs/>
          <w:sz w:val="28"/>
          <w:szCs w:val="28"/>
        </w:rPr>
        <w:t>（一）项目立项仓促，未进行有效调研论证</w:t>
      </w:r>
    </w:p>
    <w:p w14:paraId="34A61264" w14:textId="77777777" w:rsidR="0092080F" w:rsidRDefault="00607D1C" w:rsidP="0092080F">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项目从立项到实施，未进行可行性研究及事前绩效评估，项目预算资金额度确认和金融合作机构选择依据不充分，程序不严谨。主要体现在以下三个方面：一是9个县区510万元预算资金的分配依据不充分，造成北戴河新区资金用不完，海港区和开发区资金不足；二是全市计划筹集资金1275万元，确定餐饮、商超、家电、成品油、汽车、旅游等消费领域，资金额度在不同消费券类型如何分配依据不充分；三是北戴河新区退回86.47万元时，按比例退回市级财政资金分配给开发区61万元，分配给海港区142230元，程序不规范。</w:t>
      </w:r>
    </w:p>
    <w:p w14:paraId="621C4365" w14:textId="77777777" w:rsidR="00AC6336" w:rsidRDefault="00607D1C" w:rsidP="0092080F">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（二）</w:t>
      </w:r>
      <w:bookmarkEnd w:id="0"/>
      <w:bookmarkEnd w:id="1"/>
      <w:bookmarkEnd w:id="2"/>
      <w:r>
        <w:rPr>
          <w:rFonts w:ascii="仿宋_GB2312" w:eastAsia="仿宋_GB2312" w:hint="eastAsia"/>
          <w:sz w:val="28"/>
          <w:szCs w:val="28"/>
        </w:rPr>
        <w:t>项目单位绩效管理不到位，项目产出及效果未达预期</w:t>
      </w:r>
    </w:p>
    <w:p w14:paraId="715254F4"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sz w:val="28"/>
          <w:szCs w:val="28"/>
        </w:rPr>
        <w:t>一是项目单位未依据向市政府提交的请示及项目实施方案设置绩效指标，设定的绩效指标无项目产出情况及量化的项目效果，无法通过绩效指标了解项目计划实现的产出和效果；数量指标为510万元，而非项目完成数量情况；质量指标为资金使用率100%，而非消费券发放准确情况；社会效益指标为扩大消费规模，而非可以量化的受益群体人次；经济效益指标为带动县区发放消费券510万元，而非可以量化的带动销售额情况。二是</w:t>
      </w:r>
      <w:r>
        <w:rPr>
          <w:rFonts w:ascii="仿宋_GB2312" w:eastAsia="仿宋_GB2312" w:cs="仿宋" w:hint="eastAsia"/>
          <w:bCs/>
          <w:color w:val="000000"/>
          <w:kern w:val="0"/>
          <w:sz w:val="28"/>
          <w:szCs w:val="28"/>
        </w:rPr>
        <w:t>项目单位将消费券发放活动委托给建行秦皇岛分行进行投放和管理，但在项目实施过程中对产出情况和效益指标完成情况存在监管不及时不到位问题；项目结束后未及时组织验收、审计及绩效评价工作；对消费券资金收入支出及结余情况未及时予以统计核对，结余资金未及时上缴财政；对消费券给各商户带来的实际效果未及时进行考核与评价。</w:t>
      </w:r>
    </w:p>
    <w:p w14:paraId="7E91F79E" w14:textId="77777777" w:rsidR="00AC6336" w:rsidRDefault="00607D1C">
      <w:pPr>
        <w:spacing w:line="500" w:lineRule="exact"/>
        <w:ind w:firstLineChars="200" w:firstLine="562"/>
        <w:outlineLvl w:val="1"/>
        <w:rPr>
          <w:rFonts w:ascii="仿宋_GB2312" w:eastAsia="仿宋_GB2312" w:cs="仿宋"/>
          <w:b/>
          <w:bCs/>
          <w:sz w:val="28"/>
          <w:szCs w:val="28"/>
        </w:rPr>
      </w:pPr>
      <w:r>
        <w:rPr>
          <w:rFonts w:ascii="仿宋_GB2312" w:eastAsia="仿宋_GB2312" w:cs="仿宋" w:hint="eastAsia"/>
          <w:b/>
          <w:bCs/>
          <w:sz w:val="28"/>
          <w:szCs w:val="28"/>
        </w:rPr>
        <w:t>（三）项目部分指标实际完成情况与实施方案存在差异</w:t>
      </w:r>
    </w:p>
    <w:p w14:paraId="40D566A7"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lastRenderedPageBreak/>
        <w:t>1、项目实际投放时间及次数与计划差异较大</w:t>
      </w:r>
    </w:p>
    <w:p w14:paraId="55CFF10E"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t>按照项目实施方案，项目计划实施时间为2022年7月20日至2022年8月7日共计18天，计划投放次数为3次，但是实际投放时间历时6个月累计投放60天12次，未能在计划时间内完成消费券投放活动。</w:t>
      </w:r>
    </w:p>
    <w:p w14:paraId="255F7E81" w14:textId="77777777" w:rsidR="00AC6336" w:rsidRDefault="00607D1C">
      <w:pPr>
        <w:adjustRightInd w:val="0"/>
        <w:snapToGrid w:val="0"/>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2、项目实际核销时间与计划核销时间差异较大</w:t>
      </w:r>
    </w:p>
    <w:p w14:paraId="5B84DB3A"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t>消费券最后一次投放时间为2022年11月23日至27日，按照计划消费券发放活动结束后，建行应在5个工作日内报销完毕，但是建行支付时间最后一次为2023年3月29日，而且截至2023年7月3日，仍然存在0.675万元已经核销但是未支付给商户的情况。</w:t>
      </w:r>
    </w:p>
    <w:p w14:paraId="12DB1B09"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t>3、项目实际核销及兑付资金与计划存在一定偏差</w:t>
      </w:r>
    </w:p>
    <w:p w14:paraId="7AA8EF60"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t>项目计划投入各级财政资金1020万元，加上建行配套资金255万元，计划投入资金合计为1275万元，由于北戴河新区退回86.47万元，各级财政到位资金为933.53万元，建行按照25%比例实际到位配套资金233.3825万元，综上所述项目实际到位资金1166.9125万元，实际到位资金占计划筹集资金的91.52%；项目实际核销1139.3066万元,实际兑付</w:t>
      </w:r>
      <w:r>
        <w:rPr>
          <w:rFonts w:ascii="仿宋_GB2312" w:eastAsia="仿宋_GB2312" w:cs="仿宋" w:hint="eastAsia"/>
          <w:bCs/>
          <w:sz w:val="28"/>
          <w:szCs w:val="28"/>
        </w:rPr>
        <w:t>1138.6316万元，</w:t>
      </w:r>
      <w:r>
        <w:rPr>
          <w:rFonts w:ascii="仿宋_GB2312" w:eastAsia="仿宋_GB2312" w:cs="仿宋" w:hint="eastAsia"/>
          <w:bCs/>
          <w:color w:val="000000"/>
          <w:kern w:val="0"/>
          <w:sz w:val="28"/>
          <w:szCs w:val="28"/>
        </w:rPr>
        <w:t>实际兑付占实际到位资金的97.6%，与计划存在一定偏差。</w:t>
      </w:r>
    </w:p>
    <w:p w14:paraId="3DF41E2D"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t>4、项目实际带动营业额与计划带动营业额存在较大差异</w:t>
      </w:r>
    </w:p>
    <w:p w14:paraId="59367831"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t xml:space="preserve"> 项目计划带动营业额3.85亿元，其中：带动汽车消费2.25亿元，家电1亿元，成品油零售额2500多万元，商超类消费1500万元，餐饮类消费2000多万元；实际带动营业额2.34亿元，其中：汽车消费2亿元，家电1186万元，成品油零售额319万元，商超类消费1589万元，餐饮类消费339万元，旅游0.433万元。除了商超以外，其他各项消费券实际带动营业额均小于计划数，尤其是成品油及旅游券实际带动作用较小。</w:t>
      </w:r>
    </w:p>
    <w:p w14:paraId="19ADD375"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t>5、项目实际受益群体与计划对比差异较大</w:t>
      </w:r>
    </w:p>
    <w:p w14:paraId="3C95F94F"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t>项目计划受益群体共计174500人，实际受益群体为126370人，实际受益群体占计划的72%。</w:t>
      </w:r>
    </w:p>
    <w:p w14:paraId="608A2251"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t xml:space="preserve"> 6、项目实际满意度与计划满意度差异较大</w:t>
      </w:r>
    </w:p>
    <w:p w14:paraId="2E53565E" w14:textId="77777777" w:rsidR="0092080F" w:rsidRDefault="00607D1C" w:rsidP="0092080F">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lastRenderedPageBreak/>
        <w:t>消费者满意度绩效指标为95% ，但是实际通过网上调查问卷结果显示，消费者满意度为72%，比计划满意度95%少23%。</w:t>
      </w:r>
    </w:p>
    <w:p w14:paraId="4E251EED" w14:textId="77777777" w:rsidR="00AC6336" w:rsidRPr="0092080F" w:rsidRDefault="00607D1C" w:rsidP="0092080F">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sz w:val="28"/>
          <w:szCs w:val="28"/>
        </w:rPr>
        <w:t>（四）消费券类型设计较为分散，宣传渠道及使用方式单一</w:t>
      </w:r>
    </w:p>
    <w:p w14:paraId="01204E95" w14:textId="77777777" w:rsidR="0092080F" w:rsidRDefault="00607D1C" w:rsidP="0092080F">
      <w:pPr>
        <w:adjustRightInd w:val="0"/>
        <w:snapToGrid w:val="0"/>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本项目消费券类型包括汽车消费券、家电消费券、商超消费券、餐饮消费券、成品油消费券、旅游消费券，消费券类型设计比较分散，但是成品油消费券及旅游消费券参与人数较少，核销额度及带动营业额较少；通过满意度调查发现，本项目同时存在消费券宣传力度不够、宣传渠道较少、群众知晓率不高、参与热情不足、参与方式较少、建行发行App 较为冷门、项目启动时建行App只有用户20万，覆盖人数较低、老人操作不便等问题。</w:t>
      </w:r>
    </w:p>
    <w:p w14:paraId="4F734D7F" w14:textId="77777777" w:rsidR="00AC6336" w:rsidRDefault="00607D1C" w:rsidP="0092080F">
      <w:pPr>
        <w:adjustRightInd w:val="0"/>
        <w:snapToGrid w:val="0"/>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（五）建行对消费券专项资金管理及对账工作有待加强</w:t>
      </w:r>
    </w:p>
    <w:p w14:paraId="1570D0CA" w14:textId="77777777" w:rsidR="0092080F" w:rsidRDefault="00607D1C" w:rsidP="0092080F">
      <w:pPr>
        <w:pStyle w:val="af1"/>
        <w:widowControl w:val="0"/>
        <w:spacing w:line="500" w:lineRule="exact"/>
        <w:ind w:firstLine="560"/>
        <w:rPr>
          <w:rFonts w:ascii="仿宋_GB2312" w:cs="仿宋"/>
          <w:bCs/>
          <w:sz w:val="28"/>
          <w:szCs w:val="28"/>
        </w:rPr>
      </w:pPr>
      <w:r>
        <w:rPr>
          <w:rFonts w:ascii="仿宋_GB2312" w:cs="仿宋" w:hint="eastAsia"/>
          <w:bCs/>
          <w:sz w:val="28"/>
          <w:szCs w:val="28"/>
        </w:rPr>
        <w:t>建行对消费券资金支出情况未进行专账核算，未提供建设银行对账单，结余资金未及时上缴财政，建行几次提供的消费券核销金额及支付金额均不同，建行于6月1日提供的支出明细为1154.0886万元，结余资金为12.8239万元；6月29日提供的支出明细为1138.6316万元，按照实际支出情况计算结余资金为28.2809万元；2023年7月3日又将消费券核销明细从原来的1154.4776变成了1139.3066万元，按照实际核销金额计算结余资金为27.6059万元；核销金额与支付金额的差异原因建行解释的理由也一直在变化，根据建行7月3日最后一次提供的情况说明，差异原因是部分商户实际开发票金额小于核销金额；截至到2023年7月3日，建行与商家尚未完成对账工作。</w:t>
      </w:r>
    </w:p>
    <w:p w14:paraId="2406978C" w14:textId="77777777" w:rsidR="00AC6336" w:rsidRPr="0092080F" w:rsidRDefault="00607D1C" w:rsidP="0092080F">
      <w:pPr>
        <w:pStyle w:val="af1"/>
        <w:widowControl w:val="0"/>
        <w:spacing w:line="500" w:lineRule="exact"/>
        <w:ind w:firstLine="562"/>
        <w:rPr>
          <w:rFonts w:ascii="仿宋_GB2312" w:cs="仿宋"/>
          <w:b/>
          <w:bCs/>
          <w:sz w:val="28"/>
          <w:szCs w:val="28"/>
        </w:rPr>
      </w:pPr>
      <w:r w:rsidRPr="0092080F">
        <w:rPr>
          <w:rFonts w:ascii="仿宋_GB2312" w:cs="仿宋" w:hint="eastAsia"/>
          <w:b/>
          <w:sz w:val="28"/>
          <w:szCs w:val="28"/>
        </w:rPr>
        <w:t>四、相关建议</w:t>
      </w:r>
    </w:p>
    <w:p w14:paraId="2BF0983F" w14:textId="77777777" w:rsidR="00AC6336" w:rsidRDefault="00607D1C">
      <w:pPr>
        <w:spacing w:line="500" w:lineRule="exact"/>
        <w:ind w:firstLineChars="200" w:firstLine="562"/>
        <w:rPr>
          <w:rFonts w:ascii="仿宋_GB2312" w:eastAsia="仿宋_GB2312" w:cs="仿宋"/>
          <w:sz w:val="28"/>
          <w:szCs w:val="28"/>
        </w:rPr>
      </w:pPr>
      <w:r>
        <w:rPr>
          <w:rFonts w:ascii="仿宋_GB2312" w:eastAsia="仿宋_GB2312" w:cs="仿宋" w:hint="eastAsia"/>
          <w:b/>
          <w:bCs/>
          <w:sz w:val="28"/>
          <w:szCs w:val="28"/>
        </w:rPr>
        <w:t>（一）加强项目立项程序规范性，提高资金分配合理性</w:t>
      </w:r>
    </w:p>
    <w:p w14:paraId="480D802E" w14:textId="77777777" w:rsidR="00AC6336" w:rsidRDefault="00607D1C">
      <w:pPr>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bCs/>
          <w:color w:val="000000"/>
          <w:kern w:val="0"/>
          <w:sz w:val="28"/>
          <w:szCs w:val="28"/>
        </w:rPr>
        <w:t>依据财政项目立项程序要求，对新出台重大政策、项目开展事前绩效评估，重点论证立项必要性、投入经济性、绩效目标合理性、实施方案可行性、筹资合规性等，评估结果作为申请预算的必要条件，经过充分的可行性论证或事前绩效评估，</w:t>
      </w:r>
      <w:r>
        <w:rPr>
          <w:rFonts w:ascii="仿宋_GB2312" w:eastAsia="仿宋_GB2312" w:hint="eastAsia"/>
          <w:sz w:val="28"/>
          <w:szCs w:val="28"/>
        </w:rPr>
        <w:t>提高预算资金分配的准确性、科学性、合理性。</w:t>
      </w:r>
    </w:p>
    <w:p w14:paraId="48FB2FA4" w14:textId="77777777" w:rsidR="00AC6336" w:rsidRDefault="00607D1C">
      <w:pPr>
        <w:spacing w:line="500" w:lineRule="exact"/>
        <w:ind w:firstLineChars="200" w:firstLine="562"/>
        <w:rPr>
          <w:rFonts w:ascii="仿宋_GB2312" w:eastAsia="仿宋_GB2312" w:cs="仿宋"/>
          <w:b/>
          <w:bCs/>
          <w:sz w:val="28"/>
          <w:szCs w:val="28"/>
        </w:rPr>
      </w:pPr>
      <w:r>
        <w:rPr>
          <w:rFonts w:ascii="仿宋_GB2312" w:eastAsia="仿宋_GB2312" w:cs="仿宋" w:hint="eastAsia"/>
          <w:b/>
          <w:bCs/>
          <w:sz w:val="28"/>
          <w:szCs w:val="28"/>
        </w:rPr>
        <w:t>（二）认真做好绩效目标编制工作，提升预算绩效管理水平</w:t>
      </w:r>
    </w:p>
    <w:p w14:paraId="675F72A1" w14:textId="77777777" w:rsidR="00AC6336" w:rsidRDefault="00607D1C">
      <w:pPr>
        <w:adjustRightInd w:val="0"/>
        <w:snapToGrid w:val="0"/>
        <w:spacing w:line="500" w:lineRule="exact"/>
        <w:ind w:firstLineChars="200" w:firstLine="560"/>
        <w:rPr>
          <w:rFonts w:ascii="仿宋_GB2312" w:eastAsia="仿宋_GB2312" w:cs="仿宋"/>
          <w:sz w:val="28"/>
          <w:szCs w:val="28"/>
        </w:rPr>
      </w:pPr>
      <w:r>
        <w:rPr>
          <w:rFonts w:ascii="仿宋_GB2312" w:eastAsia="仿宋_GB2312" w:cs="仿宋" w:hint="eastAsia"/>
          <w:bCs/>
          <w:color w:val="000000"/>
          <w:kern w:val="0"/>
          <w:sz w:val="28"/>
          <w:szCs w:val="28"/>
        </w:rPr>
        <w:lastRenderedPageBreak/>
        <w:t>建议项目单位结合项目实际，依据项目实施方案合理规范地编制绩效评价指标，确保做到绩效指标准确、合理、细化、量化、可考核、可评价，能够为项目绩效监控及绩效</w:t>
      </w:r>
      <w:r>
        <w:rPr>
          <w:rFonts w:ascii="仿宋_GB2312" w:eastAsia="仿宋_GB2312" w:cs="仿宋" w:hint="eastAsia"/>
          <w:sz w:val="28"/>
          <w:szCs w:val="28"/>
        </w:rPr>
        <w:t>评价提供依据及支撑。</w:t>
      </w:r>
    </w:p>
    <w:p w14:paraId="53BD7257" w14:textId="77777777" w:rsidR="00AC6336" w:rsidRDefault="00607D1C">
      <w:pPr>
        <w:spacing w:line="500" w:lineRule="exact"/>
        <w:ind w:firstLineChars="200" w:firstLine="562"/>
        <w:rPr>
          <w:rFonts w:ascii="仿宋_GB2312" w:eastAsia="仿宋_GB2312" w:cs="仿宋"/>
          <w:b/>
          <w:bCs/>
          <w:sz w:val="28"/>
          <w:szCs w:val="28"/>
        </w:rPr>
      </w:pPr>
      <w:r>
        <w:rPr>
          <w:rFonts w:ascii="仿宋_GB2312" w:eastAsia="仿宋_GB2312" w:cs="仿宋" w:hint="eastAsia"/>
          <w:b/>
          <w:bCs/>
          <w:sz w:val="28"/>
          <w:szCs w:val="28"/>
        </w:rPr>
        <w:t>（三）建立全过程的监督管理机制，对项目实施全过程监管</w:t>
      </w:r>
    </w:p>
    <w:p w14:paraId="25D84401" w14:textId="77777777" w:rsidR="00AC6336" w:rsidRDefault="00607D1C">
      <w:pPr>
        <w:adjustRightInd w:val="0"/>
        <w:snapToGrid w:val="0"/>
        <w:spacing w:line="500" w:lineRule="exact"/>
        <w:ind w:firstLineChars="200" w:firstLine="560"/>
        <w:rPr>
          <w:rFonts w:ascii="仿宋_GB2312" w:eastAsia="仿宋_GB2312" w:cs="仿宋"/>
          <w:bCs/>
          <w:color w:val="000000"/>
          <w:kern w:val="0"/>
          <w:sz w:val="28"/>
          <w:szCs w:val="28"/>
        </w:rPr>
      </w:pPr>
      <w:r>
        <w:rPr>
          <w:rFonts w:ascii="仿宋_GB2312" w:eastAsia="仿宋_GB2312" w:cs="仿宋" w:hint="eastAsia"/>
          <w:sz w:val="28"/>
          <w:szCs w:val="28"/>
        </w:rPr>
        <w:t>项目单位</w:t>
      </w:r>
      <w:r>
        <w:rPr>
          <w:rFonts w:ascii="仿宋_GB2312" w:eastAsia="仿宋_GB2312" w:cs="仿宋" w:hint="eastAsia"/>
          <w:bCs/>
          <w:color w:val="000000"/>
          <w:kern w:val="0"/>
          <w:sz w:val="28"/>
          <w:szCs w:val="28"/>
        </w:rPr>
        <w:t>应增强项目管理意识、风险防范意识、绩效管理意识，建立全过程预算绩效管理链条，对消费券投放及兑付过程进行全过程跟踪管理，对项目支出情况及绩效目标实现情况及时监控，项目结束后应及时组织审计、验收及绩效评价工作，确保专项资金安全合理使用，并且能够发挥出应有的经济效益和社会效益。</w:t>
      </w:r>
    </w:p>
    <w:p w14:paraId="74B5B061" w14:textId="77777777" w:rsidR="00AC6336" w:rsidRDefault="00607D1C">
      <w:pPr>
        <w:spacing w:line="500" w:lineRule="exact"/>
        <w:ind w:firstLineChars="200" w:firstLine="562"/>
        <w:rPr>
          <w:rFonts w:ascii="仿宋_GB2312" w:eastAsia="仿宋_GB2312" w:cs="仿宋"/>
          <w:b/>
          <w:bCs/>
          <w:sz w:val="28"/>
          <w:szCs w:val="28"/>
        </w:rPr>
      </w:pPr>
      <w:r>
        <w:rPr>
          <w:rFonts w:ascii="仿宋_GB2312" w:eastAsia="仿宋_GB2312" w:cs="仿宋" w:hint="eastAsia"/>
          <w:b/>
          <w:bCs/>
          <w:sz w:val="28"/>
          <w:szCs w:val="28"/>
        </w:rPr>
        <w:t>（四）多措并举提高群众知晓率及参与热情，促进各项指标的完成</w:t>
      </w:r>
    </w:p>
    <w:p w14:paraId="793C6728" w14:textId="77777777" w:rsidR="00AC6336" w:rsidRDefault="00607D1C">
      <w:pPr>
        <w:spacing w:line="500" w:lineRule="exact"/>
        <w:ind w:firstLineChars="200" w:firstLine="560"/>
        <w:rPr>
          <w:rFonts w:ascii="仿宋_GB2312" w:eastAsia="仿宋_GB2312" w:cs="仿宋"/>
          <w:sz w:val="28"/>
          <w:szCs w:val="28"/>
        </w:rPr>
      </w:pPr>
      <w:r>
        <w:rPr>
          <w:rFonts w:ascii="仿宋_GB2312" w:eastAsia="仿宋_GB2312" w:cs="仿宋" w:hint="eastAsia"/>
          <w:sz w:val="28"/>
          <w:szCs w:val="28"/>
        </w:rPr>
        <w:t>建议项目单位合理设计消费券类型、积极拓展宣传渠道、采用更广泛更便捷的参与方式，吸引更多的消费者积极参与，确保财政资金尽可能发挥最大引导作用。</w:t>
      </w:r>
    </w:p>
    <w:p w14:paraId="1D4E555B" w14:textId="77777777" w:rsidR="0092080F" w:rsidRDefault="00607D1C" w:rsidP="0092080F">
      <w:pPr>
        <w:spacing w:line="500" w:lineRule="exact"/>
        <w:ind w:firstLineChars="200" w:firstLine="562"/>
        <w:rPr>
          <w:rFonts w:ascii="仿宋_GB2312" w:eastAsia="仿宋_GB2312" w:cs="仿宋"/>
          <w:b/>
          <w:bCs/>
          <w:sz w:val="28"/>
          <w:szCs w:val="28"/>
        </w:rPr>
      </w:pPr>
      <w:r>
        <w:rPr>
          <w:rFonts w:ascii="仿宋_GB2312" w:eastAsia="仿宋_GB2312" w:cs="仿宋" w:hint="eastAsia"/>
          <w:b/>
          <w:bCs/>
          <w:sz w:val="28"/>
          <w:szCs w:val="28"/>
        </w:rPr>
        <w:t>（五）加强对专项资金的核算及管理，尽快组织与商户对账工作</w:t>
      </w:r>
    </w:p>
    <w:p w14:paraId="612D4638" w14:textId="77777777" w:rsidR="00AC6336" w:rsidRPr="0092080F" w:rsidRDefault="00607D1C" w:rsidP="0092080F">
      <w:pPr>
        <w:spacing w:line="500" w:lineRule="exact"/>
        <w:ind w:firstLineChars="200" w:firstLine="560"/>
        <w:rPr>
          <w:rFonts w:ascii="仿宋_GB2312" w:eastAsia="仿宋_GB2312" w:cs="仿宋"/>
          <w:b/>
          <w:bCs/>
          <w:sz w:val="28"/>
          <w:szCs w:val="28"/>
        </w:rPr>
      </w:pPr>
      <w:r>
        <w:rPr>
          <w:rFonts w:ascii="仿宋_GB2312" w:eastAsia="仿宋_GB2312" w:cs="仿宋" w:hint="eastAsia"/>
          <w:color w:val="000000"/>
          <w:kern w:val="0"/>
          <w:sz w:val="28"/>
          <w:szCs w:val="28"/>
        </w:rPr>
        <w:t>截至项目绩效评价日，项目已经结束，建行应尽快核实各商户支出金额的准确性，并尽快完成与各商家对账工作，形成建行与商家共同盖章的对账单，确保专项资金支出的准确性及管理的规范性；建行及外事商务局在确认结余资金准确的基础上，应尽快将结余资金上缴财政；并将专项资金收入及支出明细账、消费券投放及核销相关资料尽快形成档案妥善保管。</w:t>
      </w:r>
    </w:p>
    <w:p w14:paraId="20EBBB19" w14:textId="77777777" w:rsidR="00AC6336" w:rsidRDefault="00AC6336">
      <w:pPr>
        <w:widowControl/>
        <w:spacing w:line="420" w:lineRule="exact"/>
        <w:jc w:val="center"/>
        <w:rPr>
          <w:rFonts w:ascii="仿宋" w:eastAsia="仿宋" w:cs="仿宋"/>
          <w:b/>
          <w:color w:val="000000"/>
          <w:kern w:val="0"/>
          <w:sz w:val="32"/>
          <w:szCs w:val="32"/>
        </w:rPr>
      </w:pPr>
    </w:p>
    <w:p w14:paraId="0E755F03" w14:textId="77777777" w:rsidR="00AC6336" w:rsidRDefault="00AC6336">
      <w:pPr>
        <w:widowControl/>
        <w:spacing w:line="420" w:lineRule="exact"/>
        <w:jc w:val="center"/>
        <w:rPr>
          <w:rFonts w:ascii="仿宋" w:eastAsia="仿宋" w:cs="仿宋"/>
          <w:b/>
          <w:color w:val="000000"/>
          <w:kern w:val="0"/>
          <w:sz w:val="32"/>
          <w:szCs w:val="32"/>
        </w:rPr>
      </w:pPr>
    </w:p>
    <w:p w14:paraId="47CAC105" w14:textId="77777777" w:rsidR="00AC6336" w:rsidRDefault="00AC6336">
      <w:pPr>
        <w:widowControl/>
        <w:spacing w:line="420" w:lineRule="exact"/>
        <w:jc w:val="center"/>
        <w:rPr>
          <w:rFonts w:ascii="仿宋" w:eastAsia="仿宋" w:cs="仿宋"/>
          <w:b/>
          <w:color w:val="000000"/>
          <w:kern w:val="0"/>
          <w:sz w:val="32"/>
          <w:szCs w:val="32"/>
        </w:rPr>
      </w:pPr>
    </w:p>
    <w:p w14:paraId="485BA8DE" w14:textId="77777777" w:rsidR="00AC6336" w:rsidRDefault="00AC6336">
      <w:pPr>
        <w:widowControl/>
        <w:spacing w:line="420" w:lineRule="exact"/>
        <w:jc w:val="center"/>
        <w:rPr>
          <w:rFonts w:ascii="仿宋" w:eastAsia="仿宋" w:cs="仿宋"/>
          <w:b/>
          <w:color w:val="000000"/>
          <w:kern w:val="0"/>
          <w:sz w:val="32"/>
          <w:szCs w:val="32"/>
        </w:rPr>
      </w:pPr>
    </w:p>
    <w:p w14:paraId="7F6A347F" w14:textId="77777777" w:rsidR="00AC6336" w:rsidRDefault="00AC6336">
      <w:pPr>
        <w:widowControl/>
        <w:spacing w:line="420" w:lineRule="exact"/>
        <w:jc w:val="center"/>
        <w:rPr>
          <w:rFonts w:ascii="仿宋" w:eastAsia="仿宋" w:cs="仿宋"/>
          <w:b/>
          <w:color w:val="000000"/>
          <w:kern w:val="0"/>
          <w:sz w:val="32"/>
          <w:szCs w:val="32"/>
        </w:rPr>
      </w:pPr>
    </w:p>
    <w:p w14:paraId="286CE2E6" w14:textId="77777777" w:rsidR="00AC6336" w:rsidRDefault="00AC6336">
      <w:pPr>
        <w:widowControl/>
        <w:spacing w:line="420" w:lineRule="exact"/>
        <w:jc w:val="center"/>
        <w:rPr>
          <w:rFonts w:ascii="仿宋" w:eastAsia="仿宋" w:cs="仿宋"/>
          <w:b/>
          <w:color w:val="000000"/>
          <w:kern w:val="0"/>
          <w:sz w:val="32"/>
          <w:szCs w:val="32"/>
        </w:rPr>
      </w:pPr>
    </w:p>
    <w:p w14:paraId="744967A5" w14:textId="77777777" w:rsidR="00AC6336" w:rsidRDefault="00AC6336">
      <w:pPr>
        <w:widowControl/>
        <w:spacing w:line="420" w:lineRule="exact"/>
        <w:jc w:val="center"/>
        <w:rPr>
          <w:rFonts w:ascii="仿宋" w:eastAsia="仿宋" w:cs="仿宋"/>
          <w:b/>
          <w:color w:val="000000"/>
          <w:kern w:val="0"/>
          <w:sz w:val="32"/>
          <w:szCs w:val="32"/>
        </w:rPr>
      </w:pPr>
    </w:p>
    <w:p w14:paraId="3F1A19D4" w14:textId="77777777" w:rsidR="00AC6336" w:rsidRDefault="00AC6336">
      <w:pPr>
        <w:widowControl/>
        <w:spacing w:line="420" w:lineRule="exact"/>
        <w:jc w:val="center"/>
        <w:rPr>
          <w:rFonts w:ascii="仿宋" w:eastAsia="仿宋" w:cs="仿宋"/>
          <w:b/>
          <w:color w:val="000000"/>
          <w:kern w:val="0"/>
          <w:sz w:val="32"/>
          <w:szCs w:val="32"/>
        </w:rPr>
      </w:pPr>
    </w:p>
    <w:p w14:paraId="675DC1A4" w14:textId="77777777" w:rsidR="00AC6336" w:rsidRDefault="00AC6336">
      <w:pPr>
        <w:widowControl/>
        <w:spacing w:line="420" w:lineRule="exact"/>
        <w:jc w:val="center"/>
        <w:rPr>
          <w:rFonts w:ascii="仿宋" w:eastAsia="仿宋" w:cs="仿宋"/>
          <w:b/>
          <w:color w:val="000000"/>
          <w:kern w:val="0"/>
          <w:sz w:val="32"/>
          <w:szCs w:val="32"/>
        </w:rPr>
      </w:pPr>
    </w:p>
    <w:p w14:paraId="12DA9270" w14:textId="77777777" w:rsidR="00AC6336" w:rsidRDefault="00AC6336">
      <w:pPr>
        <w:widowControl/>
        <w:spacing w:line="420" w:lineRule="exact"/>
        <w:jc w:val="center"/>
        <w:rPr>
          <w:rFonts w:ascii="仿宋" w:eastAsia="仿宋" w:cs="仿宋"/>
          <w:b/>
          <w:color w:val="000000"/>
          <w:kern w:val="0"/>
          <w:sz w:val="32"/>
          <w:szCs w:val="32"/>
        </w:rPr>
      </w:pPr>
    </w:p>
    <w:sectPr w:rsidR="00AC6336" w:rsidSect="00AC6336">
      <w:footerReference w:type="default" r:id="rId8"/>
      <w:pgSz w:w="11907" w:h="16840"/>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9A3F" w14:textId="77777777" w:rsidR="00872232" w:rsidRDefault="00872232" w:rsidP="00AC6336">
      <w:r>
        <w:separator/>
      </w:r>
    </w:p>
  </w:endnote>
  <w:endnote w:type="continuationSeparator" w:id="0">
    <w:p w14:paraId="18CB1CDB" w14:textId="77777777" w:rsidR="00872232" w:rsidRDefault="00872232" w:rsidP="00AC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embedRegular r:id="rId1" w:subsetted="1" w:fontKey="{C6D488D7-DEF5-450C-85E3-9CA7B913F4F3}"/>
    <w:embedBold r:id="rId2" w:subsetted="1" w:fontKey="{DB812117-19B2-461C-8DBB-47471765AAA1}"/>
  </w:font>
  <w:font w:name="仿宋">
    <w:panose1 w:val="02010609060101010101"/>
    <w:charset w:val="86"/>
    <w:family w:val="modern"/>
    <w:pitch w:val="fixed"/>
    <w:sig w:usb0="800002BF" w:usb1="38CF7CFA" w:usb2="00000016" w:usb3="00000000" w:csb0="00040001" w:csb1="00000000"/>
    <w:embedRegular r:id="rId3" w:subsetted="1" w:fontKey="{BF179AE3-4F94-4BE3-BF45-037B07A43F5F}"/>
    <w:embedBold r:id="rId4" w:subsetted="1" w:fontKey="{25F932DD-1C4A-4D1D-BC72-89E2F252BFE3}"/>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embedBold r:id="rId5" w:subsetted="1" w:fontKey="{10D50A6E-F411-40DF-9C47-0AF14CA64972}"/>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0412" w14:textId="54CEC704" w:rsidR="00AC6336" w:rsidRDefault="0017517C">
    <w:pPr>
      <w:pStyle w:val="a8"/>
      <w:jc w:val="center"/>
    </w:pPr>
    <w:r>
      <w:rPr>
        <w:noProof/>
      </w:rPr>
      <mc:AlternateContent>
        <mc:Choice Requires="wps">
          <w:drawing>
            <wp:anchor distT="0" distB="0" distL="114300" distR="114300" simplePos="0" relativeHeight="251658240" behindDoc="0" locked="0" layoutInCell="1" allowOverlap="1" wp14:anchorId="3C71D336" wp14:editId="6CCB7830">
              <wp:simplePos x="0" y="0"/>
              <wp:positionH relativeFrom="margin">
                <wp:align>center</wp:align>
              </wp:positionH>
              <wp:positionV relativeFrom="paragraph">
                <wp:posOffset>0</wp:posOffset>
              </wp:positionV>
              <wp:extent cx="114935" cy="865505"/>
              <wp:effectExtent l="0" t="0" r="0" b="0"/>
              <wp:wrapNone/>
              <wp:docPr id="4" name="文本框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865505"/>
                      </a:xfrm>
                      <a:prstGeom prst="rect">
                        <a:avLst/>
                      </a:prstGeom>
                      <a:noFill/>
                      <a:ln w="6350" cap="flat" cmpd="sng">
                        <a:noFill/>
                        <a:prstDash val="solid"/>
                        <a:round/>
                      </a:ln>
                    </wps:spPr>
                    <wps:txbx>
                      <w:txbxContent>
                        <w:sdt>
                          <w:sdtPr>
                            <w:id w:val="-1087204921"/>
                          </w:sdtPr>
                          <w:sdtContent>
                            <w:p w14:paraId="75C0808D" w14:textId="77777777" w:rsidR="00AC6336" w:rsidRDefault="00AC6336">
                              <w:pPr>
                                <w:pStyle w:val="a8"/>
                                <w:jc w:val="center"/>
                              </w:pPr>
                              <w:r>
                                <w:fldChar w:fldCharType="begin"/>
                              </w:r>
                              <w:r w:rsidR="00607D1C">
                                <w:instrText xml:space="preserve"> PAGE   \* MERGEFORMAT </w:instrText>
                              </w:r>
                              <w:r>
                                <w:fldChar w:fldCharType="separate"/>
                              </w:r>
                              <w:r w:rsidR="0092080F" w:rsidRPr="0092080F">
                                <w:rPr>
                                  <w:noProof/>
                                  <w:lang w:val="zh-CN"/>
                                </w:rPr>
                                <w:t>7</w:t>
                              </w:r>
                              <w:r>
                                <w:rPr>
                                  <w:lang w:val="zh-CN"/>
                                </w:rPr>
                                <w:fldChar w:fldCharType="end"/>
                              </w:r>
                            </w:p>
                          </w:sdtContent>
                        </w:sdt>
                        <w:p w14:paraId="75109B6E" w14:textId="77777777" w:rsidR="00AC6336" w:rsidRDefault="00AC6336">
                          <w:pPr>
                            <w:pStyle w:val="3"/>
                          </w:pPr>
                        </w:p>
                      </w:txbxContent>
                    </wps:txbx>
                    <wps:bodyPr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w14:anchorId="3C71D336" id="文本框 121" o:spid="_x0000_s1026" style="position:absolute;left:0;text-align:left;margin-left:0;margin-top:0;width:9.05pt;height:68.1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" filled="f" stroked="f" strokeweight=".5pt">
              <v:stroke joinstyle="round"/>
              <v:textbox style="mso-fit-shape-to-text:t" inset="0,0,0,0">
                <w:txbxContent>
                  <w:sdt>
                    <w:sdtPr>
                      <w:id w:val="-1087204921"/>
                    </w:sdtPr>
                    <w:sdtContent>
                      <w:p w14:paraId="75C0808D" w14:textId="77777777" w:rsidR="00AC6336" w:rsidRDefault="00AC6336">
                        <w:pPr>
                          <w:pStyle w:val="a8"/>
                          <w:jc w:val="center"/>
                        </w:pPr>
                        <w:r>
                          <w:fldChar w:fldCharType="begin"/>
                        </w:r>
                        <w:r w:rsidR="00607D1C">
                          <w:instrText xml:space="preserve"> PAGE   \* MERGEFORMAT </w:instrText>
                        </w:r>
                        <w:r>
                          <w:fldChar w:fldCharType="separate"/>
                        </w:r>
                        <w:r w:rsidR="0092080F" w:rsidRPr="0092080F">
                          <w:rPr>
                            <w:noProof/>
                            <w:lang w:val="zh-CN"/>
                          </w:rPr>
                          <w:t>7</w:t>
                        </w:r>
                        <w:r>
                          <w:rPr>
                            <w:lang w:val="zh-CN"/>
                          </w:rPr>
                          <w:fldChar w:fldCharType="end"/>
                        </w:r>
                      </w:p>
                    </w:sdtContent>
                  </w:sdt>
                  <w:p w14:paraId="75109B6E" w14:textId="77777777" w:rsidR="00AC6336" w:rsidRDefault="00AC6336">
                    <w:pPr>
                      <w:pStyle w:val="3"/>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F99D" w14:textId="77777777" w:rsidR="00872232" w:rsidRDefault="00872232" w:rsidP="00AC6336">
      <w:r>
        <w:separator/>
      </w:r>
    </w:p>
  </w:footnote>
  <w:footnote w:type="continuationSeparator" w:id="0">
    <w:p w14:paraId="277734E1" w14:textId="77777777" w:rsidR="00872232" w:rsidRDefault="00872232" w:rsidP="00AC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01D535"/>
    <w:multiLevelType w:val="singleLevel"/>
    <w:tmpl w:val="BD01D535"/>
    <w:lvl w:ilvl="0">
      <w:start w:val="1"/>
      <w:numFmt w:val="decimal"/>
      <w:suff w:val="nothing"/>
      <w:lvlText w:val="（%1）"/>
      <w:lvlJc w:val="left"/>
      <w:pPr>
        <w:ind w:left="0" w:firstLine="0"/>
      </w:pPr>
    </w:lvl>
  </w:abstractNum>
  <w:abstractNum w:abstractNumId="1" w15:restartNumberingAfterBreak="0">
    <w:nsid w:val="03C8AFBF"/>
    <w:multiLevelType w:val="singleLevel"/>
    <w:tmpl w:val="03C8AFBF"/>
    <w:lvl w:ilvl="0">
      <w:start w:val="1"/>
      <w:numFmt w:val="decimal"/>
      <w:suff w:val="nothing"/>
      <w:lvlText w:val="（%1）"/>
      <w:lvlJc w:val="left"/>
      <w:pPr>
        <w:ind w:left="0" w:firstLine="0"/>
      </w:pPr>
    </w:lvl>
  </w:abstractNum>
  <w:abstractNum w:abstractNumId="2" w15:restartNumberingAfterBreak="0">
    <w:nsid w:val="21C7CCA0"/>
    <w:multiLevelType w:val="singleLevel"/>
    <w:tmpl w:val="21C7CCA0"/>
    <w:lvl w:ilvl="0">
      <w:start w:val="2"/>
      <w:numFmt w:val="decimal"/>
      <w:suff w:val="nothing"/>
      <w:lvlText w:val="%1、"/>
      <w:lvlJc w:val="left"/>
      <w:pPr>
        <w:ind w:left="0" w:firstLine="0"/>
      </w:pPr>
    </w:lvl>
  </w:abstractNum>
  <w:abstractNum w:abstractNumId="3" w15:restartNumberingAfterBreak="0">
    <w:nsid w:val="644CA1B2"/>
    <w:multiLevelType w:val="singleLevel"/>
    <w:tmpl w:val="644CA1B2"/>
    <w:lvl w:ilvl="0">
      <w:start w:val="2"/>
      <w:numFmt w:val="decimal"/>
      <w:suff w:val="nothing"/>
      <w:lvlText w:val="%1、"/>
      <w:lvlJc w:val="left"/>
      <w:pPr>
        <w:ind w:left="0" w:firstLine="0"/>
      </w:pPr>
    </w:lvl>
  </w:abstractNum>
  <w:abstractNum w:abstractNumId="4" w15:restartNumberingAfterBreak="0">
    <w:nsid w:val="78123BD9"/>
    <w:multiLevelType w:val="singleLevel"/>
    <w:tmpl w:val="78123BD9"/>
    <w:lvl w:ilvl="0">
      <w:start w:val="2"/>
      <w:numFmt w:val="decimal"/>
      <w:suff w:val="nothing"/>
      <w:lvlText w:val="（%1）"/>
      <w:lvlJc w:val="left"/>
      <w:pPr>
        <w:ind w:left="0" w:firstLine="0"/>
      </w:pPr>
    </w:lvl>
  </w:abstractNum>
  <w:num w:numId="1" w16cid:durableId="1861358324">
    <w:abstractNumId w:val="3"/>
  </w:num>
  <w:num w:numId="2" w16cid:durableId="907349877">
    <w:abstractNumId w:val="2"/>
  </w:num>
  <w:num w:numId="3" w16cid:durableId="2061129491">
    <w:abstractNumId w:val="4"/>
  </w:num>
  <w:num w:numId="4" w16cid:durableId="1935506605">
    <w:abstractNumId w:val="0"/>
  </w:num>
  <w:num w:numId="5" w16cid:durableId="1735201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ocumentProtection w:edit="readOnly" w:enforcement="0"/>
  <w:defaultTabStop w:val="420"/>
  <w:drawingGridHorizontalSpacing w:val="105"/>
  <w:drawingGridVerticalSpacing w:val="156"/>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WJhZjI5ZjhjMjYwYjU0Mzc3NjI4NzIzY2QzNjEzM2EifQ=="/>
  </w:docVars>
  <w:rsids>
    <w:rsidRoot w:val="00AC6336"/>
    <w:rsid w:val="0017517C"/>
    <w:rsid w:val="00607D1C"/>
    <w:rsid w:val="00872232"/>
    <w:rsid w:val="0092080F"/>
    <w:rsid w:val="00AC6336"/>
    <w:rsid w:val="07691ADF"/>
    <w:rsid w:val="09FF5C37"/>
    <w:rsid w:val="0E9C2443"/>
    <w:rsid w:val="19C37774"/>
    <w:rsid w:val="34DD52CB"/>
    <w:rsid w:val="3A141BDE"/>
    <w:rsid w:val="3C6A17E1"/>
    <w:rsid w:val="7F9D10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A6042"/>
  <w15:docId w15:val="{7CC76E2A-0268-403F-A3B2-994A615B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note text" w:qFormat="1"/>
    <w:lsdException w:name="annotation text"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rsid w:val="00AC6336"/>
    <w:pPr>
      <w:widowControl w:val="0"/>
      <w:jc w:val="both"/>
    </w:pPr>
    <w:rPr>
      <w:kern w:val="2"/>
      <w:sz w:val="21"/>
      <w:szCs w:val="24"/>
    </w:rPr>
  </w:style>
  <w:style w:type="paragraph" w:styleId="1">
    <w:name w:val="heading 1"/>
    <w:basedOn w:val="a"/>
    <w:next w:val="a"/>
    <w:qFormat/>
    <w:rsid w:val="00AC6336"/>
    <w:pPr>
      <w:keepNext/>
      <w:keepLines/>
      <w:spacing w:before="340" w:after="330" w:line="578" w:lineRule="auto"/>
      <w:outlineLvl w:val="0"/>
    </w:pPr>
    <w:rPr>
      <w:b/>
      <w:bCs/>
      <w:kern w:val="44"/>
      <w:sz w:val="44"/>
      <w:szCs w:val="44"/>
    </w:rPr>
  </w:style>
  <w:style w:type="paragraph" w:styleId="2">
    <w:name w:val="heading 2"/>
    <w:basedOn w:val="a"/>
    <w:next w:val="a"/>
    <w:qFormat/>
    <w:rsid w:val="00AC6336"/>
    <w:pPr>
      <w:keepNext/>
      <w:keepLines/>
      <w:spacing w:before="260" w:after="260" w:line="415" w:lineRule="auto"/>
      <w:outlineLvl w:val="1"/>
    </w:pPr>
    <w:rPr>
      <w:rFonts w:eastAsia="黑体"/>
      <w:b/>
      <w:bCs/>
      <w:sz w:val="32"/>
      <w:szCs w:val="32"/>
    </w:rPr>
  </w:style>
  <w:style w:type="paragraph" w:styleId="3">
    <w:name w:val="heading 3"/>
    <w:basedOn w:val="a"/>
    <w:next w:val="a"/>
    <w:rsid w:val="00AC6336"/>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C6336"/>
    <w:pPr>
      <w:ind w:firstLine="602"/>
    </w:pPr>
    <w:rPr>
      <w:sz w:val="28"/>
      <w:szCs w:val="20"/>
    </w:rPr>
  </w:style>
  <w:style w:type="paragraph" w:styleId="a4">
    <w:name w:val="annotation text"/>
    <w:basedOn w:val="a"/>
    <w:qFormat/>
    <w:rsid w:val="00AC6336"/>
    <w:pPr>
      <w:jc w:val="left"/>
    </w:pPr>
  </w:style>
  <w:style w:type="paragraph" w:styleId="a5">
    <w:name w:val="Body Text"/>
    <w:basedOn w:val="a"/>
    <w:qFormat/>
    <w:rsid w:val="00AC6336"/>
    <w:pPr>
      <w:autoSpaceDE w:val="0"/>
      <w:autoSpaceDN w:val="0"/>
      <w:jc w:val="left"/>
    </w:pPr>
    <w:rPr>
      <w:rFonts w:ascii="仿宋_GB2312" w:eastAsia="仿宋_GB2312" w:cs="仿宋_GB2312"/>
      <w:kern w:val="0"/>
      <w:sz w:val="24"/>
    </w:rPr>
  </w:style>
  <w:style w:type="paragraph" w:styleId="a6">
    <w:name w:val="Body Text Indent"/>
    <w:basedOn w:val="a"/>
    <w:next w:val="a3"/>
    <w:qFormat/>
    <w:rsid w:val="00AC6336"/>
    <w:pPr>
      <w:spacing w:after="120"/>
      <w:ind w:leftChars="200" w:left="200"/>
    </w:pPr>
  </w:style>
  <w:style w:type="paragraph" w:styleId="a7">
    <w:name w:val="Date"/>
    <w:basedOn w:val="a"/>
    <w:next w:val="a"/>
    <w:qFormat/>
    <w:rsid w:val="00AC6336"/>
    <w:pPr>
      <w:ind w:leftChars="2500" w:left="2500"/>
    </w:pPr>
  </w:style>
  <w:style w:type="paragraph" w:styleId="a8">
    <w:name w:val="footer"/>
    <w:basedOn w:val="a"/>
    <w:qFormat/>
    <w:rsid w:val="00AC6336"/>
    <w:pPr>
      <w:tabs>
        <w:tab w:val="center" w:pos="4153"/>
        <w:tab w:val="right" w:pos="8306"/>
      </w:tabs>
      <w:snapToGrid w:val="0"/>
      <w:jc w:val="left"/>
    </w:pPr>
    <w:rPr>
      <w:sz w:val="18"/>
      <w:szCs w:val="18"/>
    </w:rPr>
  </w:style>
  <w:style w:type="paragraph" w:styleId="a9">
    <w:name w:val="header"/>
    <w:basedOn w:val="a"/>
    <w:rsid w:val="00AC6336"/>
    <w:pPr>
      <w:pBdr>
        <w:bottom w:val="single" w:sz="6" w:space="1" w:color="auto"/>
      </w:pBdr>
      <w:tabs>
        <w:tab w:val="center" w:pos="4153"/>
        <w:tab w:val="right" w:pos="8306"/>
      </w:tabs>
      <w:snapToGrid w:val="0"/>
      <w:jc w:val="center"/>
    </w:pPr>
    <w:rPr>
      <w:sz w:val="18"/>
      <w:szCs w:val="18"/>
    </w:rPr>
  </w:style>
  <w:style w:type="paragraph" w:styleId="aa">
    <w:name w:val="footnote text"/>
    <w:basedOn w:val="a"/>
    <w:qFormat/>
    <w:rsid w:val="00AC6336"/>
    <w:pPr>
      <w:snapToGrid w:val="0"/>
      <w:jc w:val="left"/>
    </w:pPr>
    <w:rPr>
      <w:sz w:val="18"/>
      <w:szCs w:val="18"/>
    </w:rPr>
  </w:style>
  <w:style w:type="paragraph" w:styleId="ab">
    <w:name w:val="annotation subject"/>
    <w:basedOn w:val="a4"/>
    <w:next w:val="a4"/>
    <w:qFormat/>
    <w:rsid w:val="00AC6336"/>
    <w:rPr>
      <w:b/>
      <w:bCs/>
    </w:rPr>
  </w:style>
  <w:style w:type="paragraph" w:styleId="20">
    <w:name w:val="Body Text First Indent 2"/>
    <w:basedOn w:val="a6"/>
    <w:next w:val="a"/>
    <w:qFormat/>
    <w:rsid w:val="00AC6336"/>
    <w:pPr>
      <w:ind w:firstLineChars="200" w:firstLine="200"/>
    </w:pPr>
    <w:rPr>
      <w:kern w:val="0"/>
      <w:sz w:val="24"/>
      <w:szCs w:val="20"/>
      <w:lang w:val="zh-CN"/>
    </w:rPr>
  </w:style>
  <w:style w:type="character" w:styleId="ac">
    <w:name w:val="Strong"/>
    <w:basedOn w:val="a0"/>
    <w:qFormat/>
    <w:rsid w:val="00AC6336"/>
    <w:rPr>
      <w:b/>
    </w:rPr>
  </w:style>
  <w:style w:type="character" w:styleId="ad">
    <w:name w:val="annotation reference"/>
    <w:basedOn w:val="a0"/>
    <w:qFormat/>
    <w:rsid w:val="00AC6336"/>
    <w:rPr>
      <w:sz w:val="21"/>
      <w:szCs w:val="21"/>
    </w:rPr>
  </w:style>
  <w:style w:type="character" w:styleId="ae">
    <w:name w:val="footnote reference"/>
    <w:basedOn w:val="a0"/>
    <w:qFormat/>
    <w:rsid w:val="00AC6336"/>
    <w:rPr>
      <w:vertAlign w:val="superscript"/>
    </w:rPr>
  </w:style>
  <w:style w:type="paragraph" w:customStyle="1" w:styleId="Char">
    <w:name w:val="Char"/>
    <w:basedOn w:val="a"/>
    <w:next w:val="20"/>
    <w:rsid w:val="00AC6336"/>
    <w:pPr>
      <w:ind w:firstLineChars="191" w:firstLine="191"/>
    </w:pPr>
    <w:rPr>
      <w:rFonts w:eastAsia="仿宋"/>
      <w:sz w:val="28"/>
      <w:szCs w:val="20"/>
    </w:rPr>
  </w:style>
  <w:style w:type="paragraph" w:styleId="af">
    <w:name w:val="List Paragraph"/>
    <w:basedOn w:val="a"/>
    <w:rsid w:val="00AC6336"/>
    <w:pPr>
      <w:spacing w:line="360" w:lineRule="auto"/>
      <w:ind w:firstLineChars="200" w:firstLine="200"/>
    </w:pPr>
    <w:rPr>
      <w:rFonts w:ascii="Calibri" w:hAnsi="Calibri" w:cs="Arial"/>
      <w:sz w:val="32"/>
      <w:szCs w:val="22"/>
    </w:rPr>
  </w:style>
  <w:style w:type="paragraph" w:customStyle="1" w:styleId="TableParagraph">
    <w:name w:val="Table Paragraph"/>
    <w:basedOn w:val="a"/>
    <w:qFormat/>
    <w:rsid w:val="00AC6336"/>
    <w:pPr>
      <w:autoSpaceDE w:val="0"/>
      <w:autoSpaceDN w:val="0"/>
      <w:jc w:val="center"/>
    </w:pPr>
    <w:rPr>
      <w:rFonts w:ascii="仿宋_GB2312" w:eastAsia="仿宋_GB2312" w:cs="仿宋_GB2312"/>
      <w:kern w:val="0"/>
      <w:sz w:val="22"/>
      <w:szCs w:val="22"/>
    </w:rPr>
  </w:style>
  <w:style w:type="paragraph" w:customStyle="1" w:styleId="10">
    <w:name w:val="修订1"/>
    <w:rsid w:val="00AC6336"/>
    <w:rPr>
      <w:kern w:val="2"/>
      <w:sz w:val="21"/>
      <w:szCs w:val="24"/>
    </w:rPr>
  </w:style>
  <w:style w:type="character" w:customStyle="1" w:styleId="font11">
    <w:name w:val="font11"/>
    <w:basedOn w:val="a0"/>
    <w:rsid w:val="00AC6336"/>
    <w:rPr>
      <w:rFonts w:ascii="仿宋" w:eastAsia="仿宋" w:cs="仿宋"/>
      <w:color w:val="000000"/>
      <w:sz w:val="18"/>
      <w:szCs w:val="18"/>
      <w:u w:val="none"/>
    </w:rPr>
  </w:style>
  <w:style w:type="paragraph" w:customStyle="1" w:styleId="af0">
    <w:name w:val="标题一"/>
    <w:basedOn w:val="a"/>
    <w:next w:val="af1"/>
    <w:rsid w:val="00AC6336"/>
    <w:pPr>
      <w:widowControl/>
      <w:shd w:val="clear" w:color="auto" w:fill="FFFFFF"/>
      <w:spacing w:line="560" w:lineRule="exact"/>
      <w:jc w:val="center"/>
    </w:pPr>
    <w:rPr>
      <w:rFonts w:eastAsia="方正小标宋简体" w:cs="宋体"/>
      <w:color w:val="000000"/>
      <w:kern w:val="0"/>
      <w:sz w:val="44"/>
      <w:szCs w:val="44"/>
    </w:rPr>
  </w:style>
  <w:style w:type="paragraph" w:customStyle="1" w:styleId="af1">
    <w:name w:val="仿宋正文"/>
    <w:basedOn w:val="af2"/>
    <w:rsid w:val="00AC6336"/>
    <w:rPr>
      <w:rFonts w:eastAsia="仿宋_GB2312"/>
    </w:rPr>
  </w:style>
  <w:style w:type="paragraph" w:customStyle="1" w:styleId="af2">
    <w:name w:val="标题二"/>
    <w:basedOn w:val="af0"/>
    <w:next w:val="af1"/>
    <w:rsid w:val="00AC6336"/>
    <w:pPr>
      <w:adjustRightInd w:val="0"/>
      <w:snapToGrid w:val="0"/>
      <w:spacing w:line="576" w:lineRule="exact"/>
      <w:ind w:firstLineChars="200" w:firstLine="200"/>
      <w:jc w:val="both"/>
    </w:pPr>
    <w:rPr>
      <w:rFonts w:eastAsia="黑体"/>
      <w:sz w:val="32"/>
    </w:rPr>
  </w:style>
  <w:style w:type="character" w:customStyle="1" w:styleId="font01">
    <w:name w:val="font01"/>
    <w:basedOn w:val="a0"/>
    <w:rsid w:val="00AC6336"/>
    <w:rPr>
      <w:rFonts w:ascii="仿宋" w:eastAsia="仿宋" w:cs="仿宋"/>
      <w:b/>
      <w:bCs/>
      <w:color w:val="000000"/>
      <w:sz w:val="24"/>
      <w:szCs w:val="24"/>
      <w:u w:val="none"/>
    </w:rPr>
  </w:style>
  <w:style w:type="character" w:customStyle="1" w:styleId="font21">
    <w:name w:val="font21"/>
    <w:basedOn w:val="a0"/>
    <w:rsid w:val="00AC6336"/>
    <w:rPr>
      <w:rFonts w:ascii="仿宋" w:eastAsia="仿宋" w:cs="仿宋"/>
      <w:color w:val="000000"/>
      <w:sz w:val="24"/>
      <w:szCs w:val="24"/>
      <w:u w:val="none"/>
    </w:rPr>
  </w:style>
  <w:style w:type="paragraph" w:styleId="af3">
    <w:name w:val="Balloon Text"/>
    <w:basedOn w:val="a"/>
    <w:link w:val="af4"/>
    <w:rsid w:val="0092080F"/>
    <w:rPr>
      <w:sz w:val="18"/>
      <w:szCs w:val="18"/>
    </w:rPr>
  </w:style>
  <w:style w:type="character" w:customStyle="1" w:styleId="af4">
    <w:name w:val="批注框文本 字符"/>
    <w:basedOn w:val="a0"/>
    <w:link w:val="af3"/>
    <w:rsid w:val="0092080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LK LK</cp:lastModifiedBy>
  <cp:revision>2</cp:revision>
  <cp:lastPrinted>2023-07-20T07:33:00Z</cp:lastPrinted>
  <dcterms:created xsi:type="dcterms:W3CDTF">2023-11-06T03:31:00Z</dcterms:created>
  <dcterms:modified xsi:type="dcterms:W3CDTF">2023-11-06T03:31:00Z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F6868BCF1C664709B845B077A7F57E2C_12</vt:lpwstr>
  </property>
</Properties>
</file>