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0FC23" w14:textId="77777777" w:rsidR="00523464" w:rsidRPr="00622754" w:rsidRDefault="00523464" w:rsidP="00846223">
      <w:pPr>
        <w:pStyle w:val="a6"/>
        <w:spacing w:line="640" w:lineRule="exact"/>
        <w:rPr>
          <w:rFonts w:ascii="仿宋_GB2312" w:eastAsia="仿宋_GB2312"/>
          <w:sz w:val="32"/>
          <w:szCs w:val="32"/>
        </w:rPr>
      </w:pPr>
    </w:p>
    <w:p w14:paraId="55E5B436" w14:textId="77777777" w:rsidR="00523464" w:rsidRPr="00622754" w:rsidRDefault="00846223" w:rsidP="00846223">
      <w:pPr>
        <w:widowControl/>
        <w:spacing w:line="640" w:lineRule="exact"/>
        <w:jc w:val="center"/>
        <w:rPr>
          <w:rFonts w:ascii="方正小标宋简体" w:eastAsia="方正小标宋简体"/>
          <w:b/>
          <w:color w:val="000000"/>
          <w:kern w:val="0"/>
          <w:sz w:val="44"/>
          <w:szCs w:val="44"/>
        </w:rPr>
      </w:pPr>
      <w:r>
        <w:rPr>
          <w:rFonts w:ascii="方正小标宋简体" w:eastAsia="方正小标宋简体" w:hint="eastAsia"/>
          <w:b/>
          <w:color w:val="000000"/>
          <w:kern w:val="0"/>
          <w:sz w:val="44"/>
          <w:szCs w:val="44"/>
        </w:rPr>
        <w:t>秦皇岛市2022年</w:t>
      </w:r>
      <w:r w:rsidR="009C4668" w:rsidRPr="00622754">
        <w:rPr>
          <w:rFonts w:ascii="方正小标宋简体" w:eastAsia="方正小标宋简体" w:hint="eastAsia"/>
          <w:b/>
          <w:color w:val="000000"/>
          <w:kern w:val="0"/>
          <w:sz w:val="44"/>
          <w:szCs w:val="44"/>
        </w:rPr>
        <w:t>中职生均公用经费</w:t>
      </w:r>
    </w:p>
    <w:p w14:paraId="683F723A" w14:textId="77777777" w:rsidR="00523464" w:rsidRPr="00622754" w:rsidRDefault="00D02DD1" w:rsidP="00846223">
      <w:pPr>
        <w:widowControl/>
        <w:spacing w:line="640" w:lineRule="exact"/>
        <w:jc w:val="center"/>
        <w:rPr>
          <w:rFonts w:ascii="方正小标宋简体" w:eastAsia="方正小标宋简体" w:cs="宋体"/>
          <w:b/>
          <w:kern w:val="0"/>
          <w:sz w:val="44"/>
          <w:szCs w:val="44"/>
        </w:rPr>
      </w:pPr>
      <w:r w:rsidRPr="00622754">
        <w:rPr>
          <w:rFonts w:ascii="方正小标宋简体" w:eastAsia="方正小标宋简体"/>
          <w:b/>
          <w:color w:val="000000"/>
          <w:kern w:val="0"/>
          <w:sz w:val="44"/>
          <w:szCs w:val="44"/>
        </w:rPr>
        <w:t>项目支出</w:t>
      </w:r>
      <w:r w:rsidRPr="00622754">
        <w:rPr>
          <w:rFonts w:ascii="方正小标宋简体" w:eastAsia="方正小标宋简体" w:cs="宋体" w:hint="eastAsia"/>
          <w:b/>
          <w:kern w:val="0"/>
          <w:sz w:val="44"/>
          <w:szCs w:val="44"/>
        </w:rPr>
        <w:t>绩效评价报告</w:t>
      </w:r>
    </w:p>
    <w:p w14:paraId="650E0983" w14:textId="77777777" w:rsidR="00523464" w:rsidRPr="005D4962" w:rsidRDefault="00523464" w:rsidP="005D4962">
      <w:pPr>
        <w:widowControl/>
        <w:snapToGrid w:val="0"/>
        <w:spacing w:line="580" w:lineRule="exact"/>
        <w:jc w:val="left"/>
        <w:rPr>
          <w:rFonts w:ascii="仿宋_GB2312" w:eastAsia="仿宋_GB2312" w:cs="宋体"/>
          <w:kern w:val="0"/>
          <w:sz w:val="32"/>
          <w:szCs w:val="32"/>
        </w:rPr>
      </w:pPr>
    </w:p>
    <w:p w14:paraId="668FDCC0" w14:textId="02C01E50" w:rsidR="00846223" w:rsidRPr="005D4962" w:rsidRDefault="00846223" w:rsidP="005D4962">
      <w:pPr>
        <w:widowControl/>
        <w:spacing w:line="580" w:lineRule="exact"/>
        <w:ind w:firstLineChars="200" w:firstLine="640"/>
        <w:rPr>
          <w:rFonts w:ascii="仿宋_GB2312" w:eastAsia="仿宋_GB2312" w:cs="宋体"/>
          <w:b/>
          <w:bCs/>
          <w:color w:val="000000"/>
          <w:kern w:val="0"/>
          <w:sz w:val="32"/>
          <w:szCs w:val="32"/>
        </w:rPr>
      </w:pPr>
      <w:r w:rsidRPr="005D4962">
        <w:rPr>
          <w:rFonts w:ascii="仿宋_GB2312" w:eastAsia="仿宋_GB2312" w:hint="eastAsia"/>
          <w:sz w:val="32"/>
          <w:szCs w:val="32"/>
        </w:rPr>
        <w:t>为贯彻落实全面实施预算绩效管理工作要求，进一步加强财政支出项目绩效管理和追踪问效，提升财政资金配置效率、使用效益和政府公共服务管理水平，根据《关于全面实施预算绩效管理的实施意见》（冀发〔2018〕54号）和《秦皇岛市市级预算绩效重点评价管理办法》（秦财监〔2020〕138号）相关规定，受秦皇岛市财政局委托，秦皇岛含章会计师事务所（普通合伙）承担秦皇岛市教育局</w:t>
      </w:r>
      <w:r w:rsidRPr="005D4962">
        <w:rPr>
          <w:rFonts w:ascii="仿宋_GB2312" w:eastAsia="仿宋_GB2312"/>
          <w:sz w:val="32"/>
          <w:szCs w:val="32"/>
        </w:rPr>
        <w:t>组织</w:t>
      </w:r>
      <w:r w:rsidRPr="005D4962">
        <w:rPr>
          <w:rFonts w:ascii="仿宋_GB2312" w:eastAsia="仿宋_GB2312" w:hint="eastAsia"/>
          <w:sz w:val="32"/>
          <w:szCs w:val="32"/>
        </w:rPr>
        <w:t>实施的“</w:t>
      </w:r>
      <w:r w:rsidRPr="005D4962">
        <w:rPr>
          <w:rFonts w:ascii="仿宋_GB2312" w:eastAsia="仿宋_GB2312" w:hint="eastAsia"/>
          <w:color w:val="000000"/>
          <w:kern w:val="0"/>
          <w:sz w:val="32"/>
          <w:szCs w:val="32"/>
        </w:rPr>
        <w:t>中职生均公用经费</w:t>
      </w:r>
      <w:r w:rsidRPr="005D4962">
        <w:rPr>
          <w:rFonts w:ascii="仿宋_GB2312" w:eastAsia="仿宋_GB2312" w:hint="eastAsia"/>
          <w:sz w:val="32"/>
          <w:szCs w:val="32"/>
        </w:rPr>
        <w:t>”项目绩效评价工作。评价小组根据</w:t>
      </w:r>
      <w:r w:rsidRPr="005D4962">
        <w:rPr>
          <w:rFonts w:ascii="仿宋_GB2312" w:eastAsia="仿宋_GB2312"/>
          <w:sz w:val="32"/>
          <w:szCs w:val="32"/>
        </w:rPr>
        <w:t>绩效评价</w:t>
      </w:r>
      <w:r w:rsidRPr="005D4962">
        <w:rPr>
          <w:rFonts w:ascii="仿宋_GB2312" w:eastAsia="仿宋_GB2312" w:hint="eastAsia"/>
          <w:sz w:val="32"/>
          <w:szCs w:val="32"/>
        </w:rPr>
        <w:t>工作方案开展本次评价工作，经过项目数据采集、访谈、社会调查等必要评价程序，运用绩效原理和统计方法，在梳理、分析评价数据资料基础上，形成本评价报告。</w:t>
      </w:r>
    </w:p>
    <w:p w14:paraId="38149CC0" w14:textId="77777777" w:rsidR="00523464" w:rsidRPr="005D4962" w:rsidRDefault="00D02DD1" w:rsidP="005D4962">
      <w:pPr>
        <w:spacing w:line="580" w:lineRule="exact"/>
        <w:ind w:left="643"/>
        <w:rPr>
          <w:rFonts w:ascii="仿宋_GB2312" w:eastAsia="仿宋_GB2312"/>
          <w:b/>
          <w:bCs/>
          <w:sz w:val="32"/>
          <w:szCs w:val="32"/>
        </w:rPr>
      </w:pPr>
      <w:r w:rsidRPr="005D4962">
        <w:rPr>
          <w:rFonts w:ascii="仿宋_GB2312" w:eastAsia="仿宋_GB2312" w:hint="eastAsia"/>
          <w:b/>
          <w:bCs/>
          <w:sz w:val="32"/>
          <w:szCs w:val="32"/>
        </w:rPr>
        <w:t>一、项目概况</w:t>
      </w:r>
    </w:p>
    <w:p w14:paraId="09CE33EA" w14:textId="77777777" w:rsidR="00523464" w:rsidRPr="005D4962" w:rsidRDefault="00D02DD1" w:rsidP="005D4962">
      <w:pPr>
        <w:spacing w:line="580" w:lineRule="exact"/>
        <w:ind w:firstLine="562"/>
        <w:rPr>
          <w:rFonts w:ascii="仿宋_GB2312" w:eastAsia="仿宋_GB2312"/>
          <w:b/>
          <w:bCs/>
          <w:sz w:val="32"/>
          <w:szCs w:val="32"/>
        </w:rPr>
      </w:pPr>
      <w:r w:rsidRPr="005D4962">
        <w:rPr>
          <w:rFonts w:ascii="仿宋_GB2312" w:eastAsia="仿宋_GB2312" w:hint="eastAsia"/>
          <w:b/>
          <w:bCs/>
          <w:sz w:val="32"/>
          <w:szCs w:val="32"/>
        </w:rPr>
        <w:t>（一）项目背景</w:t>
      </w:r>
    </w:p>
    <w:p w14:paraId="46AA5A65" w14:textId="1F57A514" w:rsidR="00BF15C9" w:rsidRPr="005D4962" w:rsidRDefault="00520FFE" w:rsidP="005D4962">
      <w:pPr>
        <w:spacing w:line="580" w:lineRule="exact"/>
        <w:ind w:firstLine="562"/>
        <w:rPr>
          <w:rFonts w:ascii="仿宋_GB2312" w:eastAsia="仿宋_GB2312"/>
          <w:bCs/>
          <w:sz w:val="32"/>
          <w:szCs w:val="32"/>
        </w:rPr>
      </w:pPr>
      <w:r w:rsidRPr="005D4962">
        <w:rPr>
          <w:rFonts w:ascii="仿宋_GB2312" w:eastAsia="仿宋_GB2312" w:hint="eastAsia"/>
          <w:bCs/>
          <w:sz w:val="32"/>
          <w:szCs w:val="32"/>
        </w:rPr>
        <w:t>中职生均</w:t>
      </w:r>
      <w:r w:rsidR="00EA6B71" w:rsidRPr="005D4962">
        <w:rPr>
          <w:rFonts w:ascii="仿宋_GB2312" w:eastAsia="仿宋_GB2312" w:hint="eastAsia"/>
          <w:bCs/>
          <w:sz w:val="32"/>
          <w:szCs w:val="32"/>
        </w:rPr>
        <w:t>公用</w:t>
      </w:r>
      <w:r w:rsidRPr="005D4962">
        <w:rPr>
          <w:rFonts w:ascii="仿宋_GB2312" w:eastAsia="仿宋_GB2312" w:hint="eastAsia"/>
          <w:bCs/>
          <w:sz w:val="32"/>
          <w:szCs w:val="32"/>
        </w:rPr>
        <w:t>经费</w:t>
      </w:r>
      <w:r w:rsidR="00BF15C9" w:rsidRPr="005D4962">
        <w:rPr>
          <w:rFonts w:ascii="仿宋_GB2312" w:eastAsia="仿宋_GB2312" w:hint="eastAsia"/>
          <w:bCs/>
          <w:sz w:val="32"/>
          <w:szCs w:val="32"/>
        </w:rPr>
        <w:t>资金安排是</w:t>
      </w:r>
      <w:r w:rsidR="00BD0AB5">
        <w:rPr>
          <w:rFonts w:ascii="仿宋_GB2312" w:eastAsia="仿宋_GB2312" w:hint="eastAsia"/>
          <w:bCs/>
          <w:sz w:val="32"/>
          <w:szCs w:val="32"/>
        </w:rPr>
        <w:t>财政部</w:t>
      </w:r>
      <w:r w:rsidR="00C225AE" w:rsidRPr="005D4962">
        <w:rPr>
          <w:rFonts w:ascii="仿宋_GB2312" w:eastAsia="仿宋_GB2312" w:hint="eastAsia"/>
          <w:bCs/>
          <w:sz w:val="32"/>
          <w:szCs w:val="32"/>
        </w:rPr>
        <w:t>《</w:t>
      </w:r>
      <w:r w:rsidR="00531D77" w:rsidRPr="005D4962">
        <w:rPr>
          <w:rFonts w:ascii="仿宋_GB2312" w:eastAsia="仿宋_GB2312" w:hint="eastAsia"/>
          <w:bCs/>
          <w:sz w:val="32"/>
          <w:szCs w:val="32"/>
        </w:rPr>
        <w:t>关于建立完善中等职业学校生均拨款制度的指导意见</w:t>
      </w:r>
      <w:r w:rsidR="00C225AE" w:rsidRPr="005D4962">
        <w:rPr>
          <w:rFonts w:ascii="仿宋_GB2312" w:eastAsia="仿宋_GB2312" w:hint="eastAsia"/>
          <w:bCs/>
          <w:sz w:val="32"/>
          <w:szCs w:val="32"/>
        </w:rPr>
        <w:t>》</w:t>
      </w:r>
      <w:r w:rsidR="00531D77" w:rsidRPr="005D4962">
        <w:rPr>
          <w:rFonts w:ascii="仿宋_GB2312" w:eastAsia="仿宋_GB2312" w:hint="eastAsia"/>
          <w:bCs/>
          <w:sz w:val="32"/>
          <w:szCs w:val="32"/>
        </w:rPr>
        <w:t>（财教[2015]448号）</w:t>
      </w:r>
      <w:r w:rsidR="00BF15C9" w:rsidRPr="005D4962">
        <w:rPr>
          <w:rFonts w:ascii="仿宋_GB2312" w:eastAsia="仿宋_GB2312" w:hint="eastAsia"/>
          <w:bCs/>
          <w:sz w:val="32"/>
          <w:szCs w:val="32"/>
        </w:rPr>
        <w:t>的要求，是坚持深化教育内涵建设，大力发展教育事业，改善职业学校办学条件，推动育人和教学协调发展，为全国经济社会发展服务，建设社会主义事业提供强有力的人才支撑</w:t>
      </w:r>
      <w:r w:rsidR="00531D77" w:rsidRPr="005D4962">
        <w:rPr>
          <w:rFonts w:ascii="仿宋_GB2312" w:eastAsia="仿宋_GB2312" w:hint="eastAsia"/>
          <w:bCs/>
          <w:sz w:val="32"/>
          <w:szCs w:val="32"/>
        </w:rPr>
        <w:t>。</w:t>
      </w:r>
    </w:p>
    <w:p w14:paraId="105AABFC" w14:textId="2008FC43" w:rsidR="00C225AE" w:rsidRPr="005D4962" w:rsidRDefault="00BF15C9" w:rsidP="005D4962">
      <w:pPr>
        <w:spacing w:line="580" w:lineRule="exact"/>
        <w:ind w:firstLine="562"/>
        <w:rPr>
          <w:rFonts w:ascii="仿宋_GB2312" w:eastAsia="仿宋_GB2312"/>
          <w:bCs/>
          <w:sz w:val="32"/>
          <w:szCs w:val="32"/>
        </w:rPr>
      </w:pPr>
      <w:r w:rsidRPr="005D4962">
        <w:rPr>
          <w:rFonts w:ascii="仿宋_GB2312" w:eastAsia="仿宋_GB2312" w:hint="eastAsia"/>
          <w:bCs/>
          <w:sz w:val="32"/>
          <w:szCs w:val="32"/>
        </w:rPr>
        <w:t>按照《中华人民共和国教育法》和《国务院关于加快发展现代职业教育的决定》（国发[</w:t>
      </w:r>
      <w:r w:rsidRPr="005D4962">
        <w:rPr>
          <w:rFonts w:ascii="仿宋_GB2312" w:eastAsia="仿宋_GB2312"/>
          <w:bCs/>
          <w:sz w:val="32"/>
          <w:szCs w:val="32"/>
        </w:rPr>
        <w:t>2014]19</w:t>
      </w:r>
      <w:r w:rsidRPr="005D4962">
        <w:rPr>
          <w:rFonts w:ascii="仿宋_GB2312" w:eastAsia="仿宋_GB2312" w:hint="eastAsia"/>
          <w:bCs/>
          <w:sz w:val="32"/>
          <w:szCs w:val="32"/>
        </w:rPr>
        <w:t>号）有关要求，根据《河北省人</w:t>
      </w:r>
      <w:r w:rsidRPr="005D4962">
        <w:rPr>
          <w:rFonts w:ascii="仿宋_GB2312" w:eastAsia="仿宋_GB2312" w:hint="eastAsia"/>
          <w:bCs/>
          <w:sz w:val="32"/>
          <w:szCs w:val="32"/>
        </w:rPr>
        <w:lastRenderedPageBreak/>
        <w:t>民政府关于加快发展现代职业教育的实施意见》（冀政[</w:t>
      </w:r>
      <w:r w:rsidRPr="005D4962">
        <w:rPr>
          <w:rFonts w:ascii="仿宋_GB2312" w:eastAsia="仿宋_GB2312"/>
          <w:bCs/>
          <w:sz w:val="32"/>
          <w:szCs w:val="32"/>
        </w:rPr>
        <w:t>2014]77</w:t>
      </w:r>
      <w:r w:rsidRPr="005D4962">
        <w:rPr>
          <w:rFonts w:ascii="仿宋_GB2312" w:eastAsia="仿宋_GB2312" w:hint="eastAsia"/>
          <w:bCs/>
          <w:sz w:val="32"/>
          <w:szCs w:val="32"/>
        </w:rPr>
        <w:t>号）和《财政部 教育部 人力资源社会保障部关于建立完善中等职业学校生均拨款制度的指导意见》（财教[2015]448号），为促进河北省中等职业教育改革发展，</w:t>
      </w:r>
      <w:r w:rsidR="00520FFE" w:rsidRPr="005D4962">
        <w:rPr>
          <w:rFonts w:ascii="仿宋_GB2312" w:eastAsia="仿宋_GB2312" w:hint="eastAsia"/>
          <w:bCs/>
          <w:sz w:val="32"/>
          <w:szCs w:val="32"/>
        </w:rPr>
        <w:t>河北省财政厅</w:t>
      </w:r>
      <w:r w:rsidR="00BD0AB5">
        <w:rPr>
          <w:rFonts w:ascii="仿宋_GB2312" w:eastAsia="仿宋_GB2312" w:hint="eastAsia"/>
          <w:bCs/>
          <w:sz w:val="32"/>
          <w:szCs w:val="32"/>
        </w:rPr>
        <w:t>、</w:t>
      </w:r>
      <w:r w:rsidR="00520FFE" w:rsidRPr="005D4962">
        <w:rPr>
          <w:rFonts w:ascii="仿宋_GB2312" w:eastAsia="仿宋_GB2312" w:hint="eastAsia"/>
          <w:bCs/>
          <w:sz w:val="32"/>
          <w:szCs w:val="32"/>
        </w:rPr>
        <w:t>河北省教育厅</w:t>
      </w:r>
      <w:r w:rsidR="00BD0AB5">
        <w:rPr>
          <w:rFonts w:ascii="仿宋_GB2312" w:eastAsia="仿宋_GB2312" w:hint="eastAsia"/>
          <w:bCs/>
          <w:sz w:val="32"/>
          <w:szCs w:val="32"/>
        </w:rPr>
        <w:t>、</w:t>
      </w:r>
      <w:r w:rsidR="00520FFE" w:rsidRPr="005D4962">
        <w:rPr>
          <w:rFonts w:ascii="仿宋_GB2312" w:eastAsia="仿宋_GB2312" w:hint="eastAsia"/>
          <w:bCs/>
          <w:sz w:val="32"/>
          <w:szCs w:val="32"/>
        </w:rPr>
        <w:t>河北省人力资源和社会保障厅</w:t>
      </w:r>
      <w:r w:rsidRPr="005D4962">
        <w:rPr>
          <w:rFonts w:ascii="仿宋_GB2312" w:eastAsia="仿宋_GB2312" w:hint="eastAsia"/>
          <w:bCs/>
          <w:sz w:val="32"/>
          <w:szCs w:val="32"/>
        </w:rPr>
        <w:t>联合下发</w:t>
      </w:r>
      <w:r w:rsidR="00520FFE" w:rsidRPr="005D4962">
        <w:rPr>
          <w:rFonts w:ascii="仿宋_GB2312" w:eastAsia="仿宋_GB2312" w:hint="eastAsia"/>
          <w:bCs/>
          <w:sz w:val="32"/>
          <w:szCs w:val="32"/>
        </w:rPr>
        <w:t>《关于建立完善河北省中等职业学校生均拨款制度的通知》</w:t>
      </w:r>
      <w:r w:rsidRPr="005D4962">
        <w:rPr>
          <w:rFonts w:ascii="仿宋_GB2312" w:eastAsia="仿宋_GB2312" w:hint="eastAsia"/>
          <w:bCs/>
          <w:sz w:val="32"/>
          <w:szCs w:val="32"/>
        </w:rPr>
        <w:t>（冀财教[</w:t>
      </w:r>
      <w:r w:rsidRPr="005D4962">
        <w:rPr>
          <w:rFonts w:ascii="仿宋_GB2312" w:eastAsia="仿宋_GB2312"/>
          <w:bCs/>
          <w:sz w:val="32"/>
          <w:szCs w:val="32"/>
        </w:rPr>
        <w:t>2016]1</w:t>
      </w:r>
      <w:r w:rsidRPr="005D4962">
        <w:rPr>
          <w:rFonts w:ascii="仿宋_GB2312" w:eastAsia="仿宋_GB2312" w:hint="eastAsia"/>
          <w:bCs/>
          <w:sz w:val="32"/>
          <w:szCs w:val="32"/>
        </w:rPr>
        <w:t>号），文件指出</w:t>
      </w:r>
      <w:r w:rsidR="00520FFE" w:rsidRPr="005D4962">
        <w:rPr>
          <w:rFonts w:ascii="仿宋_GB2312" w:eastAsia="仿宋_GB2312" w:hint="eastAsia"/>
          <w:bCs/>
          <w:sz w:val="32"/>
          <w:szCs w:val="32"/>
        </w:rPr>
        <w:t>从2</w:t>
      </w:r>
      <w:r w:rsidR="00520FFE" w:rsidRPr="005D4962">
        <w:rPr>
          <w:rFonts w:ascii="仿宋_GB2312" w:eastAsia="仿宋_GB2312"/>
          <w:bCs/>
          <w:sz w:val="32"/>
          <w:szCs w:val="32"/>
        </w:rPr>
        <w:t>016</w:t>
      </w:r>
      <w:r w:rsidR="00520FFE" w:rsidRPr="005D4962">
        <w:rPr>
          <w:rFonts w:ascii="仿宋_GB2312" w:eastAsia="仿宋_GB2312" w:hint="eastAsia"/>
          <w:bCs/>
          <w:sz w:val="32"/>
          <w:szCs w:val="32"/>
        </w:rPr>
        <w:t>年起建立完善中职学校生均拨款制度</w:t>
      </w:r>
      <w:r w:rsidRPr="005D4962">
        <w:rPr>
          <w:rFonts w:ascii="仿宋_GB2312" w:eastAsia="仿宋_GB2312" w:hint="eastAsia"/>
          <w:bCs/>
          <w:sz w:val="32"/>
          <w:szCs w:val="32"/>
        </w:rPr>
        <w:t>，明确全省中职学校年生均公用经费基准定额为1</w:t>
      </w:r>
      <w:r w:rsidRPr="005D4962">
        <w:rPr>
          <w:rFonts w:ascii="仿宋_GB2312" w:eastAsia="仿宋_GB2312"/>
          <w:bCs/>
          <w:sz w:val="32"/>
          <w:szCs w:val="32"/>
        </w:rPr>
        <w:t>000</w:t>
      </w:r>
      <w:r w:rsidRPr="005D4962">
        <w:rPr>
          <w:rFonts w:ascii="仿宋_GB2312" w:eastAsia="仿宋_GB2312" w:hint="eastAsia"/>
          <w:bCs/>
          <w:sz w:val="32"/>
          <w:szCs w:val="32"/>
        </w:rPr>
        <w:t>元。</w:t>
      </w:r>
    </w:p>
    <w:p w14:paraId="0184AD7B" w14:textId="77777777" w:rsidR="00523464" w:rsidRPr="005D4962" w:rsidRDefault="00D02DD1" w:rsidP="005D4962">
      <w:pPr>
        <w:spacing w:line="580" w:lineRule="exact"/>
        <w:ind w:firstLine="562"/>
        <w:rPr>
          <w:rFonts w:ascii="仿宋_GB2312" w:eastAsia="仿宋_GB2312"/>
          <w:b/>
          <w:bCs/>
          <w:sz w:val="32"/>
          <w:szCs w:val="32"/>
        </w:rPr>
      </w:pPr>
      <w:r w:rsidRPr="005D4962">
        <w:rPr>
          <w:rFonts w:ascii="仿宋_GB2312" w:eastAsia="仿宋_GB2312" w:hint="eastAsia"/>
          <w:b/>
          <w:bCs/>
          <w:sz w:val="32"/>
          <w:szCs w:val="32"/>
        </w:rPr>
        <w:t>（二）项目主要内容</w:t>
      </w:r>
    </w:p>
    <w:p w14:paraId="59FFED5F" w14:textId="77777777" w:rsidR="0055477B" w:rsidRPr="005D4962" w:rsidRDefault="0055477B" w:rsidP="005D4962">
      <w:pPr>
        <w:spacing w:line="580" w:lineRule="exact"/>
        <w:ind w:firstLine="562"/>
        <w:rPr>
          <w:rFonts w:ascii="仿宋_GB2312" w:eastAsia="仿宋_GB2312"/>
          <w:bCs/>
          <w:sz w:val="32"/>
          <w:szCs w:val="32"/>
        </w:rPr>
      </w:pPr>
      <w:r w:rsidRPr="005D4962">
        <w:rPr>
          <w:rFonts w:ascii="仿宋_GB2312" w:eastAsia="仿宋_GB2312" w:hint="eastAsia"/>
          <w:bCs/>
          <w:sz w:val="32"/>
          <w:szCs w:val="32"/>
        </w:rPr>
        <w:t>依据《关于建立完善河北省中等职业学校生均拨款制度的通知》（冀财教[</w:t>
      </w:r>
      <w:r w:rsidRPr="005D4962">
        <w:rPr>
          <w:rFonts w:ascii="仿宋_GB2312" w:eastAsia="仿宋_GB2312"/>
          <w:bCs/>
          <w:sz w:val="32"/>
          <w:szCs w:val="32"/>
        </w:rPr>
        <w:t>2016]1</w:t>
      </w:r>
      <w:r w:rsidRPr="005D4962">
        <w:rPr>
          <w:rFonts w:ascii="仿宋_GB2312" w:eastAsia="仿宋_GB2312" w:hint="eastAsia"/>
          <w:bCs/>
          <w:sz w:val="32"/>
          <w:szCs w:val="32"/>
        </w:rPr>
        <w:t>号）文件精神，中等职业学校</w:t>
      </w:r>
      <w:r w:rsidR="00AC7C0D" w:rsidRPr="005D4962">
        <w:rPr>
          <w:rFonts w:ascii="仿宋_GB2312" w:eastAsia="仿宋_GB2312" w:hint="eastAsia"/>
          <w:bCs/>
          <w:sz w:val="32"/>
          <w:szCs w:val="32"/>
        </w:rPr>
        <w:t>生均拨款制度的实施范围为：国家有关部门批准设立的全日制公办中等职业学校，覆盖全部所属独立设置的公办中职学校（包括普通中专、成人中专、职业高中、技工学校），以及高等职业学院附属中专班。全省中职学校年生均公用经费基准定额为1</w:t>
      </w:r>
      <w:r w:rsidR="00AC7C0D" w:rsidRPr="005D4962">
        <w:rPr>
          <w:rFonts w:ascii="仿宋_GB2312" w:eastAsia="仿宋_GB2312"/>
          <w:bCs/>
          <w:sz w:val="32"/>
          <w:szCs w:val="32"/>
        </w:rPr>
        <w:t>000</w:t>
      </w:r>
      <w:r w:rsidR="00AC7C0D" w:rsidRPr="005D4962">
        <w:rPr>
          <w:rFonts w:ascii="仿宋_GB2312" w:eastAsia="仿宋_GB2312" w:hint="eastAsia"/>
          <w:bCs/>
          <w:sz w:val="32"/>
          <w:szCs w:val="32"/>
        </w:rPr>
        <w:t>元。</w:t>
      </w:r>
    </w:p>
    <w:p w14:paraId="4A423D5D" w14:textId="20FF5440" w:rsidR="00523464" w:rsidRPr="005D4962" w:rsidRDefault="00EA6B71" w:rsidP="005D4962">
      <w:pPr>
        <w:spacing w:line="580" w:lineRule="exact"/>
        <w:ind w:firstLine="562"/>
        <w:rPr>
          <w:rFonts w:ascii="仿宋_GB2312" w:eastAsia="仿宋_GB2312"/>
          <w:bCs/>
          <w:sz w:val="32"/>
          <w:szCs w:val="32"/>
        </w:rPr>
      </w:pPr>
      <w:r w:rsidRPr="005D4962">
        <w:rPr>
          <w:rFonts w:ascii="仿宋_GB2312" w:eastAsia="仿宋_GB2312" w:hint="eastAsia"/>
          <w:bCs/>
          <w:sz w:val="32"/>
          <w:szCs w:val="32"/>
        </w:rPr>
        <w:t>中职学校生均公用经费，主要用于弥补学校运转缺口，保证学校正常运转。公用经费</w:t>
      </w:r>
      <w:r w:rsidR="00BD0AB5">
        <w:rPr>
          <w:rFonts w:ascii="仿宋_GB2312" w:eastAsia="仿宋_GB2312" w:hint="eastAsia"/>
          <w:bCs/>
          <w:sz w:val="32"/>
          <w:szCs w:val="32"/>
        </w:rPr>
        <w:t>开支</w:t>
      </w:r>
      <w:r w:rsidRPr="005D4962">
        <w:rPr>
          <w:rFonts w:ascii="仿宋_GB2312" w:eastAsia="仿宋_GB2312" w:hint="eastAsia"/>
          <w:bCs/>
          <w:sz w:val="32"/>
          <w:szCs w:val="32"/>
        </w:rPr>
        <w:t>范围包括:教学业务与管理、教师培训、实习实训、文体活动、水、取暖、交通差旅、邮电，仪器设备及图书资料等购置，房屋、建筑物及仪器设备的日常维修维护等。同时，兼顾改善办学条件，加强基础能力建设。不得用于人员经费、偿还债务等方面的开支。</w:t>
      </w:r>
    </w:p>
    <w:p w14:paraId="6A38F4A5" w14:textId="77777777" w:rsidR="00523464" w:rsidRPr="005D4962" w:rsidRDefault="00D02DD1" w:rsidP="005D4962">
      <w:pPr>
        <w:spacing w:line="580" w:lineRule="exact"/>
        <w:ind w:firstLine="562"/>
        <w:rPr>
          <w:rFonts w:ascii="仿宋_GB2312" w:eastAsia="仿宋_GB2312"/>
          <w:b/>
          <w:bCs/>
          <w:sz w:val="32"/>
          <w:szCs w:val="32"/>
        </w:rPr>
      </w:pPr>
      <w:r w:rsidRPr="005D4962">
        <w:rPr>
          <w:rFonts w:ascii="仿宋_GB2312" w:eastAsia="仿宋_GB2312" w:hint="eastAsia"/>
          <w:b/>
          <w:bCs/>
          <w:sz w:val="32"/>
          <w:szCs w:val="32"/>
        </w:rPr>
        <w:t>（三）项目实施情况</w:t>
      </w:r>
    </w:p>
    <w:p w14:paraId="260E524F" w14:textId="77777777" w:rsidR="00E833DA" w:rsidRPr="005D4962" w:rsidRDefault="00E833DA" w:rsidP="005D4962">
      <w:pPr>
        <w:spacing w:line="580" w:lineRule="exact"/>
        <w:ind w:firstLine="562"/>
        <w:rPr>
          <w:rFonts w:ascii="仿宋_GB2312" w:eastAsia="仿宋_GB2312"/>
          <w:sz w:val="32"/>
          <w:szCs w:val="32"/>
        </w:rPr>
      </w:pPr>
      <w:r w:rsidRPr="005D4962">
        <w:rPr>
          <w:rFonts w:ascii="仿宋_GB2312" w:eastAsia="仿宋_GB2312" w:hint="eastAsia"/>
          <w:sz w:val="32"/>
          <w:szCs w:val="32"/>
        </w:rPr>
        <w:t>中职生均经费项目为延续性项目，市教育局依据中央、省各级政府生均补助标准和学籍系统2</w:t>
      </w:r>
      <w:r w:rsidRPr="005D4962">
        <w:rPr>
          <w:rFonts w:ascii="仿宋_GB2312" w:eastAsia="仿宋_GB2312"/>
          <w:sz w:val="32"/>
          <w:szCs w:val="32"/>
        </w:rPr>
        <w:t>021</w:t>
      </w:r>
      <w:r w:rsidRPr="005D4962">
        <w:rPr>
          <w:rFonts w:ascii="仿宋_GB2312" w:eastAsia="仿宋_GB2312" w:hint="eastAsia"/>
          <w:sz w:val="32"/>
          <w:szCs w:val="32"/>
        </w:rPr>
        <w:t>年1</w:t>
      </w:r>
      <w:r w:rsidRPr="005D4962">
        <w:rPr>
          <w:rFonts w:ascii="仿宋_GB2312" w:eastAsia="仿宋_GB2312"/>
          <w:sz w:val="32"/>
          <w:szCs w:val="32"/>
        </w:rPr>
        <w:t>0</w:t>
      </w:r>
      <w:r w:rsidRPr="005D4962">
        <w:rPr>
          <w:rFonts w:ascii="仿宋_GB2312" w:eastAsia="仿宋_GB2312" w:hint="eastAsia"/>
          <w:sz w:val="32"/>
          <w:szCs w:val="32"/>
        </w:rPr>
        <w:t>月底在校人数测算中职</w:t>
      </w:r>
      <w:r w:rsidRPr="005D4962">
        <w:rPr>
          <w:rFonts w:ascii="仿宋_GB2312" w:eastAsia="仿宋_GB2312" w:hint="eastAsia"/>
          <w:sz w:val="32"/>
          <w:szCs w:val="32"/>
        </w:rPr>
        <w:lastRenderedPageBreak/>
        <w:t>学校生均公用经费，市财政局按预算批复对中等专业学校等5单位拨付生均公用经费。</w:t>
      </w:r>
    </w:p>
    <w:p w14:paraId="0E78578D" w14:textId="77777777" w:rsidR="00523464" w:rsidRPr="005D4962" w:rsidRDefault="00E833DA" w:rsidP="005D4962">
      <w:pPr>
        <w:spacing w:line="580" w:lineRule="exact"/>
        <w:ind w:firstLine="562"/>
        <w:rPr>
          <w:rFonts w:ascii="仿宋_GB2312" w:eastAsia="仿宋_GB2312"/>
          <w:bCs/>
          <w:sz w:val="32"/>
          <w:szCs w:val="32"/>
        </w:rPr>
      </w:pPr>
      <w:r w:rsidRPr="005D4962">
        <w:rPr>
          <w:rFonts w:ascii="仿宋_GB2312" w:eastAsia="仿宋_GB2312" w:hint="eastAsia"/>
          <w:sz w:val="32"/>
          <w:szCs w:val="32"/>
        </w:rPr>
        <w:t>生均公用经费</w:t>
      </w:r>
      <w:r w:rsidRPr="005D4962">
        <w:rPr>
          <w:rFonts w:ascii="仿宋_GB2312" w:eastAsia="仿宋_GB2312" w:hint="eastAsia"/>
          <w:bCs/>
          <w:sz w:val="32"/>
          <w:szCs w:val="32"/>
        </w:rPr>
        <w:t>主要用于弥补学校运转缺口，保证学校正常运转。依据《关于建立完善河北省中等职业学校生均拨款制度的通知》（冀财教[</w:t>
      </w:r>
      <w:r w:rsidRPr="005D4962">
        <w:rPr>
          <w:rFonts w:ascii="仿宋_GB2312" w:eastAsia="仿宋_GB2312"/>
          <w:bCs/>
          <w:sz w:val="32"/>
          <w:szCs w:val="32"/>
        </w:rPr>
        <w:t>2016]1</w:t>
      </w:r>
      <w:r w:rsidRPr="005D4962">
        <w:rPr>
          <w:rFonts w:ascii="仿宋_GB2312" w:eastAsia="仿宋_GB2312" w:hint="eastAsia"/>
          <w:bCs/>
          <w:sz w:val="32"/>
          <w:szCs w:val="32"/>
        </w:rPr>
        <w:t>号）文件精神2</w:t>
      </w:r>
      <w:r w:rsidRPr="005D4962">
        <w:rPr>
          <w:rFonts w:ascii="仿宋_GB2312" w:eastAsia="仿宋_GB2312"/>
          <w:bCs/>
          <w:sz w:val="32"/>
          <w:szCs w:val="32"/>
        </w:rPr>
        <w:t>022</w:t>
      </w:r>
      <w:r w:rsidRPr="005D4962">
        <w:rPr>
          <w:rFonts w:ascii="仿宋_GB2312" w:eastAsia="仿宋_GB2312" w:hint="eastAsia"/>
          <w:bCs/>
          <w:sz w:val="32"/>
          <w:szCs w:val="32"/>
        </w:rPr>
        <w:t>年全省中职学校年生均公用经费基准定额为1</w:t>
      </w:r>
      <w:r w:rsidRPr="005D4962">
        <w:rPr>
          <w:rFonts w:ascii="仿宋_GB2312" w:eastAsia="仿宋_GB2312"/>
          <w:bCs/>
          <w:sz w:val="32"/>
          <w:szCs w:val="32"/>
        </w:rPr>
        <w:t>000</w:t>
      </w:r>
      <w:r w:rsidRPr="005D4962">
        <w:rPr>
          <w:rFonts w:ascii="仿宋_GB2312" w:eastAsia="仿宋_GB2312" w:hint="eastAsia"/>
          <w:bCs/>
          <w:sz w:val="32"/>
          <w:szCs w:val="32"/>
        </w:rPr>
        <w:t>元。2</w:t>
      </w:r>
      <w:r w:rsidRPr="005D4962">
        <w:rPr>
          <w:rFonts w:ascii="仿宋_GB2312" w:eastAsia="仿宋_GB2312"/>
          <w:bCs/>
          <w:sz w:val="32"/>
          <w:szCs w:val="32"/>
        </w:rPr>
        <w:t>021</w:t>
      </w:r>
      <w:r w:rsidRPr="005D4962">
        <w:rPr>
          <w:rFonts w:ascii="仿宋_GB2312" w:eastAsia="仿宋_GB2312" w:hint="eastAsia"/>
          <w:bCs/>
          <w:sz w:val="32"/>
          <w:szCs w:val="32"/>
        </w:rPr>
        <w:t>年1</w:t>
      </w:r>
      <w:r w:rsidRPr="005D4962">
        <w:rPr>
          <w:rFonts w:ascii="仿宋_GB2312" w:eastAsia="仿宋_GB2312"/>
          <w:bCs/>
          <w:sz w:val="32"/>
          <w:szCs w:val="32"/>
        </w:rPr>
        <w:t>0</w:t>
      </w:r>
      <w:r w:rsidRPr="005D4962">
        <w:rPr>
          <w:rFonts w:ascii="仿宋_GB2312" w:eastAsia="仿宋_GB2312" w:hint="eastAsia"/>
          <w:bCs/>
          <w:sz w:val="32"/>
          <w:szCs w:val="32"/>
        </w:rPr>
        <w:t>月底各学校在籍人数1</w:t>
      </w:r>
      <w:r w:rsidRPr="005D4962">
        <w:rPr>
          <w:rFonts w:ascii="仿宋_GB2312" w:eastAsia="仿宋_GB2312"/>
          <w:bCs/>
          <w:sz w:val="32"/>
          <w:szCs w:val="32"/>
        </w:rPr>
        <w:t>3142</w:t>
      </w:r>
      <w:r w:rsidRPr="005D4962">
        <w:rPr>
          <w:rFonts w:ascii="仿宋_GB2312" w:eastAsia="仿宋_GB2312" w:hint="eastAsia"/>
          <w:bCs/>
          <w:sz w:val="32"/>
          <w:szCs w:val="32"/>
        </w:rPr>
        <w:t>人，预算金额1</w:t>
      </w:r>
      <w:r w:rsidRPr="005D4962">
        <w:rPr>
          <w:rFonts w:ascii="仿宋_GB2312" w:eastAsia="仿宋_GB2312"/>
          <w:bCs/>
          <w:sz w:val="32"/>
          <w:szCs w:val="32"/>
        </w:rPr>
        <w:t>315</w:t>
      </w:r>
      <w:r w:rsidRPr="005D4962">
        <w:rPr>
          <w:rFonts w:ascii="仿宋_GB2312" w:eastAsia="仿宋_GB2312" w:hint="eastAsia"/>
          <w:bCs/>
          <w:sz w:val="32"/>
          <w:szCs w:val="32"/>
        </w:rPr>
        <w:t>万元，到位资金1</w:t>
      </w:r>
      <w:r w:rsidRPr="005D4962">
        <w:rPr>
          <w:rFonts w:ascii="仿宋_GB2312" w:eastAsia="仿宋_GB2312"/>
          <w:bCs/>
          <w:sz w:val="32"/>
          <w:szCs w:val="32"/>
        </w:rPr>
        <w:t>125.3</w:t>
      </w:r>
      <w:r w:rsidRPr="005D4962">
        <w:rPr>
          <w:rFonts w:ascii="仿宋_GB2312" w:eastAsia="仿宋_GB2312" w:hint="eastAsia"/>
          <w:bCs/>
          <w:sz w:val="32"/>
          <w:szCs w:val="32"/>
        </w:rPr>
        <w:t>万元。</w:t>
      </w:r>
    </w:p>
    <w:p w14:paraId="39C36E33" w14:textId="77777777" w:rsidR="00523464" w:rsidRPr="005D4962" w:rsidRDefault="00D02DD1" w:rsidP="005D4962">
      <w:pPr>
        <w:spacing w:line="580" w:lineRule="exact"/>
        <w:ind w:firstLine="562"/>
        <w:rPr>
          <w:rFonts w:ascii="仿宋_GB2312" w:eastAsia="仿宋_GB2312"/>
          <w:b/>
          <w:bCs/>
          <w:sz w:val="32"/>
          <w:szCs w:val="32"/>
        </w:rPr>
      </w:pPr>
      <w:r w:rsidRPr="005D4962">
        <w:rPr>
          <w:rFonts w:ascii="仿宋_GB2312" w:eastAsia="仿宋_GB2312" w:hint="eastAsia"/>
          <w:b/>
          <w:bCs/>
          <w:sz w:val="32"/>
          <w:szCs w:val="32"/>
        </w:rPr>
        <w:t>（四）资金投入和使用情况</w:t>
      </w:r>
    </w:p>
    <w:p w14:paraId="19677A4A" w14:textId="77777777" w:rsidR="00523464" w:rsidRPr="005D4962" w:rsidRDefault="00D02DD1" w:rsidP="005D4962">
      <w:pPr>
        <w:spacing w:line="580" w:lineRule="exact"/>
        <w:ind w:firstLine="562"/>
        <w:jc w:val="left"/>
        <w:rPr>
          <w:rFonts w:ascii="仿宋_GB2312" w:eastAsia="仿宋_GB2312"/>
          <w:b/>
          <w:bCs/>
          <w:sz w:val="32"/>
          <w:szCs w:val="32"/>
        </w:rPr>
      </w:pPr>
      <w:r w:rsidRPr="005D4962">
        <w:rPr>
          <w:rFonts w:ascii="仿宋_GB2312" w:eastAsia="仿宋_GB2312" w:hint="eastAsia"/>
          <w:b/>
          <w:bCs/>
          <w:sz w:val="32"/>
          <w:szCs w:val="32"/>
        </w:rPr>
        <w:t>（1）资金投入及到位情况</w:t>
      </w:r>
    </w:p>
    <w:p w14:paraId="31CB219B" w14:textId="1DF0918D" w:rsidR="00523464" w:rsidRPr="005D4962" w:rsidRDefault="00D118A0" w:rsidP="005D4962">
      <w:pPr>
        <w:spacing w:line="580" w:lineRule="exact"/>
        <w:ind w:firstLine="562"/>
        <w:jc w:val="left"/>
        <w:rPr>
          <w:rFonts w:ascii="仿宋_GB2312" w:eastAsia="仿宋_GB2312"/>
          <w:bCs/>
          <w:sz w:val="32"/>
          <w:szCs w:val="32"/>
        </w:rPr>
      </w:pPr>
      <w:r w:rsidRPr="005D4962">
        <w:rPr>
          <w:rFonts w:ascii="仿宋_GB2312" w:eastAsia="仿宋_GB2312" w:hint="eastAsia"/>
          <w:bCs/>
          <w:sz w:val="32"/>
          <w:szCs w:val="32"/>
        </w:rPr>
        <w:t>2</w:t>
      </w:r>
      <w:r w:rsidRPr="005D4962">
        <w:rPr>
          <w:rFonts w:ascii="仿宋_GB2312" w:eastAsia="仿宋_GB2312"/>
          <w:bCs/>
          <w:sz w:val="32"/>
          <w:szCs w:val="32"/>
        </w:rPr>
        <w:t>022</w:t>
      </w:r>
      <w:r w:rsidRPr="005D4962">
        <w:rPr>
          <w:rFonts w:ascii="仿宋_GB2312" w:eastAsia="仿宋_GB2312" w:hint="eastAsia"/>
          <w:bCs/>
          <w:sz w:val="32"/>
          <w:szCs w:val="32"/>
        </w:rPr>
        <w:t>年年初预算批复1</w:t>
      </w:r>
      <w:r w:rsidRPr="005D4962">
        <w:rPr>
          <w:rFonts w:ascii="仿宋_GB2312" w:eastAsia="仿宋_GB2312"/>
          <w:bCs/>
          <w:sz w:val="32"/>
          <w:szCs w:val="32"/>
        </w:rPr>
        <w:t>315</w:t>
      </w:r>
      <w:r w:rsidRPr="005D4962">
        <w:rPr>
          <w:rFonts w:ascii="仿宋_GB2312" w:eastAsia="仿宋_GB2312" w:hint="eastAsia"/>
          <w:bCs/>
          <w:sz w:val="32"/>
          <w:szCs w:val="32"/>
        </w:rPr>
        <w:t>万元，</w:t>
      </w:r>
      <w:r w:rsidR="009E3110" w:rsidRPr="005D4962">
        <w:rPr>
          <w:rFonts w:ascii="仿宋_GB2312" w:eastAsia="仿宋_GB2312" w:hint="eastAsia"/>
          <w:bCs/>
          <w:sz w:val="32"/>
          <w:szCs w:val="32"/>
        </w:rPr>
        <w:t>调整后预算安排</w:t>
      </w:r>
      <w:r w:rsidR="00E833DA" w:rsidRPr="005D4962">
        <w:rPr>
          <w:rFonts w:ascii="仿宋_GB2312" w:eastAsia="仿宋_GB2312"/>
          <w:bCs/>
          <w:sz w:val="32"/>
          <w:szCs w:val="32"/>
        </w:rPr>
        <w:t>1125.3</w:t>
      </w:r>
      <w:r w:rsidR="009E3110" w:rsidRPr="005D4962">
        <w:rPr>
          <w:rFonts w:ascii="仿宋_GB2312" w:eastAsia="仿宋_GB2312" w:hint="eastAsia"/>
          <w:bCs/>
          <w:sz w:val="32"/>
          <w:szCs w:val="32"/>
        </w:rPr>
        <w:t>万元，</w:t>
      </w:r>
      <w:r w:rsidRPr="005D4962">
        <w:rPr>
          <w:rFonts w:ascii="仿宋_GB2312" w:eastAsia="仿宋_GB2312" w:hint="eastAsia"/>
          <w:bCs/>
          <w:sz w:val="32"/>
          <w:szCs w:val="32"/>
        </w:rPr>
        <w:t>项目到位资金</w:t>
      </w:r>
      <w:r w:rsidR="00E833DA" w:rsidRPr="005D4962">
        <w:rPr>
          <w:rFonts w:ascii="仿宋_GB2312" w:eastAsia="仿宋_GB2312"/>
          <w:bCs/>
          <w:sz w:val="32"/>
          <w:szCs w:val="32"/>
        </w:rPr>
        <w:t>1125.3</w:t>
      </w:r>
      <w:r w:rsidRPr="005D4962">
        <w:rPr>
          <w:rFonts w:ascii="仿宋_GB2312" w:eastAsia="仿宋_GB2312" w:hint="eastAsia"/>
          <w:bCs/>
          <w:sz w:val="32"/>
          <w:szCs w:val="32"/>
        </w:rPr>
        <w:t>万元</w:t>
      </w:r>
      <w:r w:rsidR="009E3110" w:rsidRPr="005D4962">
        <w:rPr>
          <w:rFonts w:ascii="仿宋_GB2312" w:eastAsia="仿宋_GB2312" w:hint="eastAsia"/>
          <w:bCs/>
          <w:sz w:val="32"/>
          <w:szCs w:val="32"/>
        </w:rPr>
        <w:t>，资金到位率</w:t>
      </w:r>
      <w:r w:rsidR="00BD0AB5">
        <w:rPr>
          <w:rFonts w:ascii="仿宋_GB2312" w:eastAsia="仿宋_GB2312"/>
          <w:bCs/>
          <w:sz w:val="32"/>
          <w:szCs w:val="32"/>
        </w:rPr>
        <w:t>100</w:t>
      </w:r>
      <w:r w:rsidR="009E3110" w:rsidRPr="005D4962">
        <w:rPr>
          <w:rFonts w:ascii="仿宋_GB2312" w:eastAsia="仿宋_GB2312" w:hint="eastAsia"/>
          <w:bCs/>
          <w:sz w:val="32"/>
          <w:szCs w:val="32"/>
        </w:rPr>
        <w:t>%。</w:t>
      </w:r>
    </w:p>
    <w:p w14:paraId="58D4FE0A" w14:textId="77777777" w:rsidR="00523464" w:rsidRPr="005D4962" w:rsidRDefault="00D02DD1" w:rsidP="005D4962">
      <w:pPr>
        <w:spacing w:line="580" w:lineRule="exact"/>
        <w:ind w:firstLine="562"/>
        <w:jc w:val="left"/>
        <w:rPr>
          <w:rFonts w:ascii="仿宋_GB2312" w:eastAsia="仿宋_GB2312"/>
          <w:b/>
          <w:bCs/>
          <w:sz w:val="32"/>
          <w:szCs w:val="32"/>
        </w:rPr>
      </w:pPr>
      <w:r w:rsidRPr="005D4962">
        <w:rPr>
          <w:rFonts w:ascii="仿宋_GB2312" w:eastAsia="仿宋_GB2312" w:hint="eastAsia"/>
          <w:b/>
          <w:bCs/>
          <w:sz w:val="32"/>
          <w:szCs w:val="32"/>
        </w:rPr>
        <w:t>（2）资金使用情况</w:t>
      </w:r>
    </w:p>
    <w:p w14:paraId="7E22B173" w14:textId="77777777" w:rsidR="00E833DA" w:rsidRPr="005D4962" w:rsidRDefault="00E833DA" w:rsidP="005D4962">
      <w:pPr>
        <w:spacing w:line="580" w:lineRule="exact"/>
        <w:ind w:firstLine="562"/>
        <w:jc w:val="left"/>
        <w:rPr>
          <w:rFonts w:ascii="仿宋_GB2312" w:eastAsia="仿宋_GB2312"/>
          <w:bCs/>
          <w:sz w:val="32"/>
          <w:szCs w:val="32"/>
        </w:rPr>
      </w:pPr>
      <w:r w:rsidRPr="005D4962">
        <w:rPr>
          <w:rFonts w:ascii="仿宋_GB2312" w:eastAsia="仿宋_GB2312" w:hint="eastAsia"/>
          <w:bCs/>
          <w:sz w:val="32"/>
          <w:szCs w:val="32"/>
        </w:rPr>
        <w:t>项目到位资金</w:t>
      </w:r>
      <w:r w:rsidRPr="005D4962">
        <w:rPr>
          <w:rFonts w:ascii="仿宋_GB2312" w:eastAsia="仿宋_GB2312"/>
          <w:bCs/>
          <w:sz w:val="32"/>
          <w:szCs w:val="32"/>
        </w:rPr>
        <w:t>1125.3</w:t>
      </w:r>
      <w:r w:rsidRPr="005D4962">
        <w:rPr>
          <w:rFonts w:ascii="仿宋_GB2312" w:eastAsia="仿宋_GB2312" w:hint="eastAsia"/>
          <w:bCs/>
          <w:sz w:val="32"/>
          <w:szCs w:val="32"/>
        </w:rPr>
        <w:t>万元，实际支付金额1</w:t>
      </w:r>
      <w:r w:rsidRPr="005D4962">
        <w:rPr>
          <w:rFonts w:ascii="仿宋_GB2312" w:eastAsia="仿宋_GB2312"/>
          <w:bCs/>
          <w:sz w:val="32"/>
          <w:szCs w:val="32"/>
        </w:rPr>
        <w:t>125.3</w:t>
      </w:r>
      <w:r w:rsidRPr="005D4962">
        <w:rPr>
          <w:rFonts w:ascii="仿宋_GB2312" w:eastAsia="仿宋_GB2312" w:hint="eastAsia"/>
          <w:bCs/>
          <w:sz w:val="32"/>
          <w:szCs w:val="32"/>
        </w:rPr>
        <w:t>万元，</w:t>
      </w:r>
      <w:r w:rsidR="00E5171E" w:rsidRPr="005D4962">
        <w:rPr>
          <w:rFonts w:ascii="仿宋_GB2312" w:eastAsia="仿宋_GB2312" w:hint="eastAsia"/>
          <w:bCs/>
          <w:sz w:val="32"/>
          <w:szCs w:val="32"/>
        </w:rPr>
        <w:t>预算执行率</w:t>
      </w:r>
      <w:r w:rsidRPr="005D4962">
        <w:rPr>
          <w:rFonts w:ascii="仿宋_GB2312" w:eastAsia="仿宋_GB2312" w:hint="eastAsia"/>
          <w:bCs/>
          <w:sz w:val="32"/>
          <w:szCs w:val="32"/>
        </w:rPr>
        <w:t>率1</w:t>
      </w:r>
      <w:r w:rsidRPr="005D4962">
        <w:rPr>
          <w:rFonts w:ascii="仿宋_GB2312" w:eastAsia="仿宋_GB2312"/>
          <w:bCs/>
          <w:sz w:val="32"/>
          <w:szCs w:val="32"/>
        </w:rPr>
        <w:t>00</w:t>
      </w:r>
      <w:r w:rsidRPr="005D4962">
        <w:rPr>
          <w:rFonts w:ascii="仿宋_GB2312" w:eastAsia="仿宋_GB2312" w:hint="eastAsia"/>
          <w:bCs/>
          <w:sz w:val="32"/>
          <w:szCs w:val="32"/>
        </w:rPr>
        <w:t>%。</w:t>
      </w:r>
    </w:p>
    <w:p w14:paraId="13FE9798" w14:textId="77777777" w:rsidR="00523464" w:rsidRPr="005D4962" w:rsidRDefault="00D02DD1" w:rsidP="005D4962">
      <w:pPr>
        <w:spacing w:line="580" w:lineRule="exact"/>
        <w:ind w:left="643"/>
        <w:rPr>
          <w:rFonts w:ascii="仿宋_GB2312" w:eastAsia="仿宋_GB2312"/>
          <w:b/>
          <w:bCs/>
          <w:sz w:val="32"/>
          <w:szCs w:val="32"/>
        </w:rPr>
      </w:pPr>
      <w:r w:rsidRPr="005D4962">
        <w:rPr>
          <w:rFonts w:ascii="仿宋_GB2312" w:eastAsia="仿宋_GB2312" w:hint="eastAsia"/>
          <w:b/>
          <w:bCs/>
          <w:sz w:val="32"/>
          <w:szCs w:val="32"/>
        </w:rPr>
        <w:t>二、综合评价情况及评价结论</w:t>
      </w:r>
    </w:p>
    <w:p w14:paraId="290A5DCA" w14:textId="77777777" w:rsidR="00523464" w:rsidRPr="005D4962" w:rsidRDefault="00D02DD1" w:rsidP="005D4962">
      <w:pPr>
        <w:spacing w:line="580" w:lineRule="exact"/>
        <w:ind w:firstLineChars="200" w:firstLine="643"/>
        <w:rPr>
          <w:rFonts w:ascii="仿宋_GB2312" w:eastAsia="仿宋_GB2312"/>
          <w:b/>
          <w:bCs/>
          <w:sz w:val="32"/>
          <w:szCs w:val="32"/>
        </w:rPr>
      </w:pPr>
      <w:r w:rsidRPr="005D4962">
        <w:rPr>
          <w:rFonts w:ascii="仿宋_GB2312" w:eastAsia="仿宋_GB2312" w:hint="eastAsia"/>
          <w:b/>
          <w:bCs/>
          <w:sz w:val="32"/>
          <w:szCs w:val="32"/>
        </w:rPr>
        <w:t>（一）评价结论</w:t>
      </w:r>
    </w:p>
    <w:p w14:paraId="0DBCD15F" w14:textId="77777777" w:rsidR="00523464" w:rsidRPr="005D4962" w:rsidRDefault="00D02DD1" w:rsidP="005D4962">
      <w:pPr>
        <w:spacing w:line="580" w:lineRule="exact"/>
        <w:ind w:firstLineChars="200" w:firstLine="640"/>
        <w:rPr>
          <w:rFonts w:ascii="仿宋_GB2312" w:eastAsia="仿宋_GB2312"/>
          <w:bCs/>
          <w:sz w:val="32"/>
          <w:szCs w:val="32"/>
        </w:rPr>
      </w:pPr>
      <w:r w:rsidRPr="005D4962">
        <w:rPr>
          <w:rFonts w:ascii="仿宋_GB2312" w:eastAsia="仿宋_GB2312" w:hint="eastAsia"/>
          <w:bCs/>
          <w:sz w:val="32"/>
          <w:szCs w:val="32"/>
        </w:rPr>
        <w:t>经综合评价与分析，本项目绩效评价综合得分为</w:t>
      </w:r>
      <w:r w:rsidR="00FC1B59" w:rsidRPr="005D4962">
        <w:rPr>
          <w:rFonts w:ascii="仿宋_GB2312" w:eastAsia="仿宋_GB2312"/>
          <w:bCs/>
          <w:sz w:val="32"/>
          <w:szCs w:val="32"/>
        </w:rPr>
        <w:t>9</w:t>
      </w:r>
      <w:r w:rsidR="00E5171E" w:rsidRPr="005D4962">
        <w:rPr>
          <w:rFonts w:ascii="仿宋_GB2312" w:eastAsia="仿宋_GB2312"/>
          <w:bCs/>
          <w:sz w:val="32"/>
          <w:szCs w:val="32"/>
        </w:rPr>
        <w:t>2.</w:t>
      </w:r>
      <w:r w:rsidR="00EA0B7B" w:rsidRPr="005D4962">
        <w:rPr>
          <w:rFonts w:ascii="仿宋_GB2312" w:eastAsia="仿宋_GB2312"/>
          <w:bCs/>
          <w:sz w:val="32"/>
          <w:szCs w:val="32"/>
        </w:rPr>
        <w:t>5</w:t>
      </w:r>
      <w:r w:rsidRPr="005D4962">
        <w:rPr>
          <w:rFonts w:ascii="仿宋_GB2312" w:eastAsia="仿宋_GB2312" w:hint="eastAsia"/>
          <w:bCs/>
          <w:sz w:val="32"/>
          <w:szCs w:val="32"/>
        </w:rPr>
        <w:t>分，绩效评价等级为“优”。其中，项目决策类指标权重为16分，得分为1</w:t>
      </w:r>
      <w:r w:rsidR="00E5171E" w:rsidRPr="005D4962">
        <w:rPr>
          <w:rFonts w:ascii="仿宋_GB2312" w:eastAsia="仿宋_GB2312"/>
          <w:bCs/>
          <w:sz w:val="32"/>
          <w:szCs w:val="32"/>
        </w:rPr>
        <w:t>2.9</w:t>
      </w:r>
      <w:r w:rsidRPr="005D4962">
        <w:rPr>
          <w:rFonts w:ascii="仿宋_GB2312" w:eastAsia="仿宋_GB2312" w:hint="eastAsia"/>
          <w:bCs/>
          <w:sz w:val="32"/>
          <w:szCs w:val="32"/>
        </w:rPr>
        <w:t>分；项目过程类指标权重为24分，得分为</w:t>
      </w:r>
      <w:r w:rsidR="00C34359" w:rsidRPr="005D4962">
        <w:rPr>
          <w:rFonts w:ascii="仿宋_GB2312" w:eastAsia="仿宋_GB2312"/>
          <w:bCs/>
          <w:sz w:val="32"/>
          <w:szCs w:val="32"/>
        </w:rPr>
        <w:t>23.</w:t>
      </w:r>
      <w:r w:rsidR="00EA0B7B" w:rsidRPr="005D4962">
        <w:rPr>
          <w:rFonts w:ascii="仿宋_GB2312" w:eastAsia="仿宋_GB2312"/>
          <w:bCs/>
          <w:sz w:val="32"/>
          <w:szCs w:val="32"/>
        </w:rPr>
        <w:t>7</w:t>
      </w:r>
      <w:r w:rsidRPr="005D4962">
        <w:rPr>
          <w:rFonts w:ascii="仿宋_GB2312" w:eastAsia="仿宋_GB2312" w:hint="eastAsia"/>
          <w:bCs/>
          <w:sz w:val="32"/>
          <w:szCs w:val="32"/>
        </w:rPr>
        <w:t>分；项目产出类指标权重为36分，得分为3</w:t>
      </w:r>
      <w:r w:rsidR="00C34359" w:rsidRPr="005D4962">
        <w:rPr>
          <w:rFonts w:ascii="仿宋_GB2312" w:eastAsia="仿宋_GB2312"/>
          <w:bCs/>
          <w:sz w:val="32"/>
          <w:szCs w:val="32"/>
        </w:rPr>
        <w:t>5</w:t>
      </w:r>
      <w:r w:rsidRPr="005D4962">
        <w:rPr>
          <w:rFonts w:ascii="仿宋_GB2312" w:eastAsia="仿宋_GB2312" w:hint="eastAsia"/>
          <w:bCs/>
          <w:sz w:val="32"/>
          <w:szCs w:val="32"/>
        </w:rPr>
        <w:t>分；项目效益类指标权重为24分，得分为2</w:t>
      </w:r>
      <w:r w:rsidR="00EA0B7B" w:rsidRPr="005D4962">
        <w:rPr>
          <w:rFonts w:ascii="仿宋_GB2312" w:eastAsia="仿宋_GB2312"/>
          <w:bCs/>
          <w:sz w:val="32"/>
          <w:szCs w:val="32"/>
        </w:rPr>
        <w:t>0.9</w:t>
      </w:r>
      <w:r w:rsidRPr="005D4962">
        <w:rPr>
          <w:rFonts w:ascii="仿宋_GB2312" w:eastAsia="仿宋_GB2312" w:hint="eastAsia"/>
          <w:bCs/>
          <w:sz w:val="32"/>
          <w:szCs w:val="32"/>
        </w:rPr>
        <w:t>分。</w:t>
      </w:r>
    </w:p>
    <w:p w14:paraId="1FB8EBD3" w14:textId="77777777" w:rsidR="00523464" w:rsidRPr="005D4962" w:rsidRDefault="00D02DD1" w:rsidP="005D4962">
      <w:pPr>
        <w:spacing w:line="580" w:lineRule="exact"/>
        <w:ind w:firstLineChars="200" w:firstLine="643"/>
        <w:rPr>
          <w:rFonts w:ascii="仿宋_GB2312" w:eastAsia="仿宋_GB2312"/>
          <w:b/>
          <w:bCs/>
          <w:sz w:val="32"/>
          <w:szCs w:val="32"/>
        </w:rPr>
      </w:pPr>
      <w:r w:rsidRPr="005D4962">
        <w:rPr>
          <w:rFonts w:ascii="仿宋_GB2312" w:eastAsia="仿宋_GB2312" w:hint="eastAsia"/>
          <w:b/>
          <w:bCs/>
          <w:sz w:val="32"/>
          <w:szCs w:val="32"/>
        </w:rPr>
        <w:t>（二）绩效情况分析</w:t>
      </w:r>
    </w:p>
    <w:p w14:paraId="143BCDFA" w14:textId="77777777" w:rsidR="00523464" w:rsidRPr="005D4962" w:rsidRDefault="00F15A1D" w:rsidP="005D4962">
      <w:pPr>
        <w:spacing w:line="580" w:lineRule="exact"/>
        <w:ind w:firstLine="560"/>
        <w:rPr>
          <w:rFonts w:ascii="仿宋_GB2312" w:eastAsia="仿宋_GB2312"/>
          <w:sz w:val="32"/>
          <w:szCs w:val="32"/>
        </w:rPr>
      </w:pPr>
      <w:r w:rsidRPr="005D4962">
        <w:rPr>
          <w:rFonts w:ascii="仿宋_GB2312" w:eastAsia="仿宋_GB2312" w:hint="eastAsia"/>
          <w:sz w:val="32"/>
          <w:szCs w:val="32"/>
        </w:rPr>
        <w:t>评价工作组分批到5所中等专业学校收集相关资料，包含会计账簿、会计凭证等财务资料、涉及工程的招投标资料、验收报告、</w:t>
      </w:r>
      <w:r w:rsidRPr="005D4962">
        <w:rPr>
          <w:rFonts w:ascii="仿宋_GB2312" w:eastAsia="仿宋_GB2312" w:hint="eastAsia"/>
          <w:sz w:val="32"/>
          <w:szCs w:val="32"/>
        </w:rPr>
        <w:lastRenderedPageBreak/>
        <w:t>实施方案等，充分了解项目实施情况</w:t>
      </w:r>
      <w:r w:rsidR="00D02DD1" w:rsidRPr="005D4962">
        <w:rPr>
          <w:rFonts w:ascii="仿宋_GB2312" w:eastAsia="仿宋_GB2312" w:hint="eastAsia"/>
          <w:sz w:val="32"/>
          <w:szCs w:val="32"/>
        </w:rPr>
        <w:t>。评价工作组根据对项目资料、收集的相关数据以及调查问卷进行分析、统计等，对项目目标管理、组织实施、资金管理、项目产出、项目实施效益进行综合分析，修正绩效评价指标体系并进行绩效评分。具体列示如下：</w:t>
      </w:r>
    </w:p>
    <w:p w14:paraId="5559BEDE" w14:textId="77777777" w:rsidR="00523464" w:rsidRPr="005D4962" w:rsidRDefault="00D02DD1" w:rsidP="005D4962">
      <w:pPr>
        <w:spacing w:line="580" w:lineRule="exact"/>
        <w:ind w:firstLine="560"/>
        <w:rPr>
          <w:rFonts w:ascii="仿宋_GB2312" w:eastAsia="仿宋_GB2312"/>
          <w:sz w:val="32"/>
          <w:szCs w:val="32"/>
        </w:rPr>
      </w:pPr>
      <w:bookmarkStart w:id="0" w:name="_Hlk139371049"/>
      <w:r w:rsidRPr="005D4962">
        <w:rPr>
          <w:rFonts w:ascii="仿宋_GB2312" w:eastAsia="仿宋_GB2312" w:hint="eastAsia"/>
          <w:sz w:val="32"/>
          <w:szCs w:val="32"/>
        </w:rPr>
        <w:t>1、决策绩效情况：项目决策类指标权重为16分，得分为1</w:t>
      </w:r>
      <w:r w:rsidR="00E5171E" w:rsidRPr="005D4962">
        <w:rPr>
          <w:rFonts w:ascii="仿宋_GB2312" w:eastAsia="仿宋_GB2312"/>
          <w:sz w:val="32"/>
          <w:szCs w:val="32"/>
        </w:rPr>
        <w:t>2.9</w:t>
      </w:r>
      <w:r w:rsidRPr="005D4962">
        <w:rPr>
          <w:rFonts w:ascii="仿宋_GB2312" w:eastAsia="仿宋_GB2312" w:hint="eastAsia"/>
          <w:sz w:val="32"/>
          <w:szCs w:val="32"/>
        </w:rPr>
        <w:t>分。</w:t>
      </w:r>
      <w:r w:rsidR="00B83770" w:rsidRPr="005D4962">
        <w:rPr>
          <w:rFonts w:ascii="仿宋_GB2312" w:eastAsia="仿宋_GB2312" w:hint="eastAsia"/>
          <w:sz w:val="32"/>
          <w:szCs w:val="32"/>
        </w:rPr>
        <w:t>项目立项依据充分，立项程序规范；项目预算编制科学、合理，资金分配合理，但项目绩效目标设置过于宏观，不能反映项目预期实现的产出和效果。</w:t>
      </w:r>
    </w:p>
    <w:p w14:paraId="6EFC3CB0" w14:textId="77777777" w:rsidR="00B83770" w:rsidRPr="005D4962" w:rsidRDefault="00D02DD1" w:rsidP="005D4962">
      <w:pPr>
        <w:spacing w:line="580" w:lineRule="exact"/>
        <w:ind w:firstLine="560"/>
        <w:rPr>
          <w:rFonts w:ascii="仿宋_GB2312" w:eastAsia="仿宋_GB2312"/>
          <w:bCs/>
          <w:sz w:val="32"/>
          <w:szCs w:val="32"/>
        </w:rPr>
      </w:pPr>
      <w:r w:rsidRPr="005D4962">
        <w:rPr>
          <w:rFonts w:ascii="仿宋_GB2312" w:eastAsia="仿宋_GB2312" w:hint="eastAsia"/>
          <w:sz w:val="32"/>
          <w:szCs w:val="32"/>
        </w:rPr>
        <w:t>2、过程绩效情况：</w:t>
      </w:r>
      <w:r w:rsidR="00B83770" w:rsidRPr="005D4962">
        <w:rPr>
          <w:rFonts w:ascii="仿宋_GB2312" w:eastAsia="仿宋_GB2312" w:hint="eastAsia"/>
          <w:sz w:val="32"/>
          <w:szCs w:val="32"/>
        </w:rPr>
        <w:t>项目过程类指标权重为24分，得分为2</w:t>
      </w:r>
      <w:r w:rsidR="00E5171E" w:rsidRPr="005D4962">
        <w:rPr>
          <w:rFonts w:ascii="仿宋_GB2312" w:eastAsia="仿宋_GB2312"/>
          <w:sz w:val="32"/>
          <w:szCs w:val="32"/>
        </w:rPr>
        <w:t>3.</w:t>
      </w:r>
      <w:r w:rsidR="00EA0B7B" w:rsidRPr="005D4962">
        <w:rPr>
          <w:rFonts w:ascii="仿宋_GB2312" w:eastAsia="仿宋_GB2312"/>
          <w:sz w:val="32"/>
          <w:szCs w:val="32"/>
        </w:rPr>
        <w:t>7</w:t>
      </w:r>
      <w:r w:rsidR="00B83770" w:rsidRPr="005D4962">
        <w:rPr>
          <w:rFonts w:ascii="仿宋_GB2312" w:eastAsia="仿宋_GB2312" w:hint="eastAsia"/>
          <w:sz w:val="32"/>
          <w:szCs w:val="32"/>
        </w:rPr>
        <w:t>分。</w:t>
      </w:r>
      <w:r w:rsidR="00E5171E" w:rsidRPr="005D4962">
        <w:rPr>
          <w:rFonts w:ascii="仿宋_GB2312" w:eastAsia="仿宋_GB2312" w:hint="eastAsia"/>
          <w:sz w:val="32"/>
          <w:szCs w:val="32"/>
        </w:rPr>
        <w:t>项</w:t>
      </w:r>
      <w:r w:rsidR="00B83770" w:rsidRPr="005D4962">
        <w:rPr>
          <w:rFonts w:ascii="仿宋_GB2312" w:eastAsia="仿宋_GB2312" w:hint="eastAsia"/>
          <w:bCs/>
          <w:sz w:val="32"/>
          <w:szCs w:val="32"/>
        </w:rPr>
        <w:t>项目到位资金1</w:t>
      </w:r>
      <w:r w:rsidR="00B83770" w:rsidRPr="005D4962">
        <w:rPr>
          <w:rFonts w:ascii="仿宋_GB2312" w:eastAsia="仿宋_GB2312"/>
          <w:bCs/>
          <w:sz w:val="32"/>
          <w:szCs w:val="32"/>
        </w:rPr>
        <w:t>125.3</w:t>
      </w:r>
      <w:r w:rsidR="00B83770" w:rsidRPr="005D4962">
        <w:rPr>
          <w:rFonts w:ascii="仿宋_GB2312" w:eastAsia="仿宋_GB2312" w:hint="eastAsia"/>
          <w:bCs/>
          <w:sz w:val="32"/>
          <w:szCs w:val="32"/>
        </w:rPr>
        <w:t>万元</w:t>
      </w:r>
      <w:r w:rsidR="00E5171E" w:rsidRPr="005D4962">
        <w:rPr>
          <w:rFonts w:ascii="仿宋_GB2312" w:eastAsia="仿宋_GB2312" w:hint="eastAsia"/>
          <w:bCs/>
          <w:sz w:val="32"/>
          <w:szCs w:val="32"/>
        </w:rPr>
        <w:t>，</w:t>
      </w:r>
      <w:r w:rsidR="00B83770" w:rsidRPr="005D4962">
        <w:rPr>
          <w:rFonts w:ascii="仿宋_GB2312" w:eastAsia="仿宋_GB2312" w:hint="eastAsia"/>
          <w:bCs/>
          <w:sz w:val="32"/>
          <w:szCs w:val="32"/>
        </w:rPr>
        <w:t>实际支出资金1</w:t>
      </w:r>
      <w:r w:rsidR="00B83770" w:rsidRPr="005D4962">
        <w:rPr>
          <w:rFonts w:ascii="仿宋_GB2312" w:eastAsia="仿宋_GB2312"/>
          <w:bCs/>
          <w:sz w:val="32"/>
          <w:szCs w:val="32"/>
        </w:rPr>
        <w:t>125.3</w:t>
      </w:r>
      <w:r w:rsidR="00B83770" w:rsidRPr="005D4962">
        <w:rPr>
          <w:rFonts w:ascii="仿宋_GB2312" w:eastAsia="仿宋_GB2312" w:hint="eastAsia"/>
          <w:bCs/>
          <w:sz w:val="32"/>
          <w:szCs w:val="32"/>
        </w:rPr>
        <w:t>万元</w:t>
      </w:r>
      <w:r w:rsidR="00EA0B7B" w:rsidRPr="005D4962">
        <w:rPr>
          <w:rFonts w:ascii="仿宋_GB2312" w:eastAsia="仿宋_GB2312" w:hint="eastAsia"/>
          <w:bCs/>
          <w:sz w:val="32"/>
          <w:szCs w:val="32"/>
        </w:rPr>
        <w:t>，</w:t>
      </w:r>
      <w:r w:rsidR="00B83770" w:rsidRPr="005D4962">
        <w:rPr>
          <w:rFonts w:ascii="仿宋_GB2312" w:eastAsia="仿宋_GB2312" w:hint="eastAsia"/>
          <w:bCs/>
          <w:sz w:val="32"/>
          <w:szCs w:val="32"/>
        </w:rPr>
        <w:t>部分学校资金使用存在超范围开支的情况，资金使用欠规范。</w:t>
      </w:r>
    </w:p>
    <w:p w14:paraId="5DB1174F" w14:textId="77777777" w:rsidR="00B83770" w:rsidRPr="005D4962" w:rsidRDefault="00B83770" w:rsidP="005D4962">
      <w:pPr>
        <w:spacing w:line="580" w:lineRule="exact"/>
        <w:ind w:firstLine="560"/>
        <w:rPr>
          <w:rFonts w:ascii="仿宋_GB2312" w:eastAsia="仿宋_GB2312"/>
          <w:bCs/>
          <w:sz w:val="32"/>
          <w:szCs w:val="32"/>
        </w:rPr>
      </w:pPr>
      <w:r w:rsidRPr="005D4962">
        <w:rPr>
          <w:rFonts w:ascii="仿宋_GB2312" w:eastAsia="仿宋_GB2312" w:hint="eastAsia"/>
          <w:bCs/>
          <w:sz w:val="32"/>
          <w:szCs w:val="32"/>
        </w:rPr>
        <w:t>3、产出绩效情况：项目产出类指标权重为36分，得分为</w:t>
      </w:r>
      <w:r w:rsidR="00E5171E" w:rsidRPr="005D4962">
        <w:rPr>
          <w:rFonts w:ascii="仿宋_GB2312" w:eastAsia="仿宋_GB2312"/>
          <w:bCs/>
          <w:sz w:val="32"/>
          <w:szCs w:val="32"/>
        </w:rPr>
        <w:t>35</w:t>
      </w:r>
      <w:r w:rsidRPr="005D4962">
        <w:rPr>
          <w:rFonts w:ascii="仿宋_GB2312" w:eastAsia="仿宋_GB2312" w:hint="eastAsia"/>
          <w:bCs/>
          <w:sz w:val="32"/>
          <w:szCs w:val="32"/>
        </w:rPr>
        <w:t>分。项目组织实施为5所中职学校发放生均公用经费，覆盖率100%，存在未按文件规范支出情况。</w:t>
      </w:r>
    </w:p>
    <w:p w14:paraId="6DD816C6" w14:textId="77777777" w:rsidR="00523464" w:rsidRPr="005D4962" w:rsidRDefault="00B83770" w:rsidP="005D4962">
      <w:pPr>
        <w:spacing w:line="580" w:lineRule="exact"/>
        <w:ind w:firstLine="560"/>
        <w:rPr>
          <w:rFonts w:ascii="仿宋_GB2312" w:eastAsia="仿宋_GB2312"/>
          <w:bCs/>
          <w:sz w:val="32"/>
          <w:szCs w:val="32"/>
        </w:rPr>
      </w:pPr>
      <w:r w:rsidRPr="005D4962">
        <w:rPr>
          <w:rFonts w:ascii="仿宋_GB2312" w:eastAsia="仿宋_GB2312" w:hint="eastAsia"/>
          <w:bCs/>
          <w:sz w:val="32"/>
          <w:szCs w:val="32"/>
        </w:rPr>
        <w:t>4、效益绩效情况：项目效益类指标权重为24分，得分为2</w:t>
      </w:r>
      <w:r w:rsidR="00EA0B7B" w:rsidRPr="005D4962">
        <w:rPr>
          <w:rFonts w:ascii="仿宋_GB2312" w:eastAsia="仿宋_GB2312"/>
          <w:bCs/>
          <w:sz w:val="32"/>
          <w:szCs w:val="32"/>
        </w:rPr>
        <w:t>0.9</w:t>
      </w:r>
      <w:r w:rsidRPr="005D4962">
        <w:rPr>
          <w:rFonts w:ascii="仿宋_GB2312" w:eastAsia="仿宋_GB2312" w:hint="eastAsia"/>
          <w:bCs/>
          <w:sz w:val="32"/>
          <w:szCs w:val="32"/>
        </w:rPr>
        <w:t>分。效益指标考察项目实施所产生的社会效益、可持续影响及满意度。中职生均公用经费项目满足了中职学校日常运转，对促进中等职业教育健康协调发展具有重要意义。经制定并发放调查问卷，教职工满意度89.15%，学生满意度90.19%。</w:t>
      </w:r>
    </w:p>
    <w:bookmarkEnd w:id="0"/>
    <w:p w14:paraId="15EEAB69" w14:textId="77777777" w:rsidR="00523464" w:rsidRPr="005D4962" w:rsidRDefault="00D02DD1" w:rsidP="005D4962">
      <w:pPr>
        <w:spacing w:line="580" w:lineRule="exact"/>
        <w:ind w:firstLineChars="200" w:firstLine="643"/>
        <w:rPr>
          <w:rFonts w:ascii="仿宋_GB2312" w:eastAsia="仿宋_GB2312"/>
          <w:b/>
          <w:bCs/>
          <w:sz w:val="32"/>
          <w:szCs w:val="32"/>
        </w:rPr>
      </w:pPr>
      <w:r w:rsidRPr="005D4962">
        <w:rPr>
          <w:rFonts w:ascii="仿宋_GB2312" w:eastAsia="仿宋_GB2312" w:hint="eastAsia"/>
          <w:b/>
          <w:bCs/>
          <w:sz w:val="32"/>
          <w:szCs w:val="32"/>
        </w:rPr>
        <w:t>三、存在的问题及建议</w:t>
      </w:r>
    </w:p>
    <w:p w14:paraId="003289D4" w14:textId="52A8EED7" w:rsidR="00523464" w:rsidRPr="005D4962" w:rsidRDefault="00D02DD1" w:rsidP="005D4962">
      <w:pPr>
        <w:spacing w:line="580" w:lineRule="exact"/>
        <w:ind w:firstLine="562"/>
        <w:rPr>
          <w:rFonts w:ascii="仿宋_GB2312" w:eastAsia="仿宋_GB2312"/>
          <w:bCs/>
          <w:sz w:val="32"/>
          <w:szCs w:val="32"/>
        </w:rPr>
      </w:pPr>
      <w:r w:rsidRPr="005D4962">
        <w:rPr>
          <w:rFonts w:ascii="仿宋_GB2312" w:eastAsia="仿宋_GB2312" w:hint="eastAsia"/>
          <w:bCs/>
          <w:sz w:val="32"/>
          <w:szCs w:val="32"/>
        </w:rPr>
        <w:t>我们在评价过程中重点对项目的组织、申报、审核和验收情况以及项目的合理合规性、财政资金分配及使用情况、项目结果绩效等进行了重点考评。程序</w:t>
      </w:r>
      <w:r w:rsidR="000B028E">
        <w:rPr>
          <w:rFonts w:ascii="仿宋_GB2312" w:eastAsia="仿宋_GB2312" w:hint="eastAsia"/>
          <w:bCs/>
          <w:sz w:val="32"/>
          <w:szCs w:val="32"/>
        </w:rPr>
        <w:t>较</w:t>
      </w:r>
      <w:r w:rsidRPr="005D4962">
        <w:rPr>
          <w:rFonts w:ascii="仿宋_GB2312" w:eastAsia="仿宋_GB2312" w:hint="eastAsia"/>
          <w:bCs/>
          <w:sz w:val="32"/>
          <w:szCs w:val="32"/>
        </w:rPr>
        <w:t>规范合理，项目绩效较好，但仍存在一些问题：</w:t>
      </w:r>
    </w:p>
    <w:p w14:paraId="048F3E1E" w14:textId="77777777" w:rsidR="00846223" w:rsidRPr="005D4962" w:rsidRDefault="00846223" w:rsidP="005D4962">
      <w:pPr>
        <w:spacing w:line="580" w:lineRule="exact"/>
        <w:ind w:firstLine="560"/>
        <w:rPr>
          <w:rFonts w:ascii="仿宋_GB2312" w:eastAsia="仿宋_GB2312"/>
          <w:bCs/>
          <w:sz w:val="32"/>
          <w:szCs w:val="32"/>
        </w:rPr>
      </w:pPr>
      <w:r w:rsidRPr="005D4962">
        <w:rPr>
          <w:rFonts w:ascii="仿宋_GB2312" w:eastAsia="仿宋_GB2312" w:hint="eastAsia"/>
          <w:bCs/>
          <w:sz w:val="32"/>
          <w:szCs w:val="32"/>
        </w:rPr>
        <w:lastRenderedPageBreak/>
        <w:t>（一）预算绩效管理有待进一步规范</w:t>
      </w:r>
    </w:p>
    <w:p w14:paraId="064EC710" w14:textId="77777777" w:rsidR="00846223" w:rsidRPr="005D4962" w:rsidRDefault="00846223" w:rsidP="005D4962">
      <w:pPr>
        <w:spacing w:line="580" w:lineRule="exact"/>
        <w:ind w:firstLine="560"/>
        <w:rPr>
          <w:rFonts w:ascii="仿宋_GB2312" w:eastAsia="仿宋_GB2312"/>
          <w:sz w:val="32"/>
          <w:szCs w:val="32"/>
        </w:rPr>
      </w:pPr>
      <w:r w:rsidRPr="005D4962">
        <w:rPr>
          <w:rFonts w:ascii="仿宋_GB2312" w:eastAsia="仿宋_GB2312" w:hint="eastAsia"/>
          <w:sz w:val="32"/>
          <w:szCs w:val="32"/>
        </w:rPr>
        <w:t>绩效目标编制质量有待提升，绩效目标设置过于宏观，不够明确，不能反映项目预期实现的产出和效果；绩效指标设置与项目相关性较差，不考核性较差。</w:t>
      </w:r>
    </w:p>
    <w:p w14:paraId="17377334" w14:textId="77777777" w:rsidR="00846223" w:rsidRPr="005D4962" w:rsidRDefault="00846223" w:rsidP="005D4962">
      <w:pPr>
        <w:spacing w:line="580" w:lineRule="exact"/>
        <w:ind w:firstLine="560"/>
        <w:rPr>
          <w:rFonts w:ascii="仿宋_GB2312" w:eastAsia="仿宋_GB2312"/>
          <w:sz w:val="32"/>
          <w:szCs w:val="32"/>
        </w:rPr>
      </w:pPr>
      <w:r w:rsidRPr="005D4962">
        <w:rPr>
          <w:rFonts w:ascii="仿宋_GB2312" w:eastAsia="仿宋_GB2312" w:hint="eastAsia"/>
          <w:sz w:val="32"/>
          <w:szCs w:val="32"/>
        </w:rPr>
        <w:t>建议：绩效目标编制是财政预算绩效管理的起点，项目单位应结合项目实施内容，从产出和效果方面设定年度绩效目标，同时将目标细化量化为具体绩效指标，聚焦项目核心效益设置可衡量的产出指标、效益指标，为财政资金预算安排、项目执行及项目绩效衡量、评价提供支撑。</w:t>
      </w:r>
    </w:p>
    <w:p w14:paraId="454B42D2" w14:textId="77777777" w:rsidR="00846223" w:rsidRPr="005D4962" w:rsidRDefault="00846223" w:rsidP="005D4962">
      <w:pPr>
        <w:spacing w:line="580" w:lineRule="exact"/>
        <w:ind w:firstLine="560"/>
        <w:rPr>
          <w:rFonts w:ascii="仿宋_GB2312" w:eastAsia="仿宋_GB2312"/>
          <w:bCs/>
          <w:sz w:val="32"/>
          <w:szCs w:val="32"/>
        </w:rPr>
      </w:pPr>
      <w:r w:rsidRPr="005D4962">
        <w:rPr>
          <w:rFonts w:ascii="仿宋_GB2312" w:eastAsia="仿宋_GB2312" w:hint="eastAsia"/>
          <w:bCs/>
          <w:sz w:val="32"/>
          <w:szCs w:val="32"/>
        </w:rPr>
        <w:t>（二）生均公用经费超范围支出，财务核算不规范</w:t>
      </w:r>
    </w:p>
    <w:p w14:paraId="734F3D37" w14:textId="37AB1991" w:rsidR="00846223" w:rsidRPr="005D4962" w:rsidRDefault="00846223" w:rsidP="005D4962">
      <w:pPr>
        <w:spacing w:line="580" w:lineRule="exact"/>
        <w:ind w:firstLine="560"/>
        <w:rPr>
          <w:rFonts w:ascii="仿宋_GB2312" w:eastAsia="仿宋_GB2312"/>
          <w:bCs/>
          <w:sz w:val="32"/>
          <w:szCs w:val="32"/>
        </w:rPr>
      </w:pPr>
      <w:r w:rsidRPr="005D4962">
        <w:rPr>
          <w:rFonts w:ascii="仿宋_GB2312" w:eastAsia="仿宋_GB2312" w:hint="eastAsia"/>
          <w:bCs/>
          <w:sz w:val="32"/>
          <w:szCs w:val="32"/>
        </w:rPr>
        <w:t>在经费支出方面，按照《河北省财政厅 河北省教育厅 河北省人力资源和社会保障厅关于建立完善河北省中等职业学校生均拨款制度的通知》（冀财教[</w:t>
      </w:r>
      <w:r w:rsidRPr="005D4962">
        <w:rPr>
          <w:rFonts w:ascii="仿宋_GB2312" w:eastAsia="仿宋_GB2312"/>
          <w:bCs/>
          <w:sz w:val="32"/>
          <w:szCs w:val="32"/>
        </w:rPr>
        <w:t>2016]1</w:t>
      </w:r>
      <w:r w:rsidRPr="005D4962">
        <w:rPr>
          <w:rFonts w:ascii="仿宋_GB2312" w:eastAsia="仿宋_GB2312" w:hint="eastAsia"/>
          <w:bCs/>
          <w:sz w:val="32"/>
          <w:szCs w:val="32"/>
        </w:rPr>
        <w:t>号）文件中对中职学校公用经费开支范围的规定：“中职学校生均公用经费不得用于人员经费、偿还债务等方面的开支”。在现场审核中，秦皇岛市中等专业学校生均公用经费存在用于支付“临时工工资、住宅电话补、临时聘用教师课时费”等人员经费，涉及金额7</w:t>
      </w:r>
      <w:r w:rsidRPr="005D4962">
        <w:rPr>
          <w:rFonts w:ascii="仿宋_GB2312" w:eastAsia="仿宋_GB2312"/>
          <w:bCs/>
          <w:sz w:val="32"/>
          <w:szCs w:val="32"/>
        </w:rPr>
        <w:t>4</w:t>
      </w:r>
      <w:r w:rsidRPr="005D4962">
        <w:rPr>
          <w:rFonts w:ascii="仿宋_GB2312" w:eastAsia="仿宋_GB2312" w:hint="eastAsia"/>
          <w:bCs/>
          <w:sz w:val="32"/>
          <w:szCs w:val="32"/>
        </w:rPr>
        <w:t>,</w:t>
      </w:r>
      <w:r w:rsidRPr="005D4962">
        <w:rPr>
          <w:rFonts w:ascii="仿宋_GB2312" w:eastAsia="仿宋_GB2312"/>
          <w:bCs/>
          <w:sz w:val="32"/>
          <w:szCs w:val="32"/>
        </w:rPr>
        <w:t>438.00</w:t>
      </w:r>
      <w:r w:rsidRPr="005D4962">
        <w:rPr>
          <w:rFonts w:ascii="仿宋_GB2312" w:eastAsia="仿宋_GB2312" w:hint="eastAsia"/>
          <w:bCs/>
          <w:sz w:val="32"/>
          <w:szCs w:val="32"/>
        </w:rPr>
        <w:t>元；在财务核算方面，依据《中小学财务制度》第四十七条固定资产是指使用期限超过一年，单位价值在1000元以上（其中：专用设备单位价值在1500元以上），并在使用过程中基本保持原有物质形态的资产。单位价值虽未达到规定标准，但是耐用时间在一年以上的大批同类物资，作为固定资产管理。在现场审核中，秦皇岛技师学院购入单位价值虽未到1</w:t>
      </w:r>
      <w:r w:rsidRPr="005D4962">
        <w:rPr>
          <w:rFonts w:ascii="仿宋_GB2312" w:eastAsia="仿宋_GB2312"/>
          <w:bCs/>
          <w:sz w:val="32"/>
          <w:szCs w:val="32"/>
        </w:rPr>
        <w:t>000</w:t>
      </w:r>
      <w:r w:rsidRPr="005D4962">
        <w:rPr>
          <w:rFonts w:ascii="仿宋_GB2312" w:eastAsia="仿宋_GB2312" w:hint="eastAsia"/>
          <w:bCs/>
          <w:sz w:val="32"/>
          <w:szCs w:val="32"/>
        </w:rPr>
        <w:t>元以上，但耐用实际在一年以上的大批同类物资未计入固定资产。</w:t>
      </w:r>
    </w:p>
    <w:p w14:paraId="41EC5965" w14:textId="77777777" w:rsidR="00846223" w:rsidRPr="005D4962" w:rsidRDefault="00846223" w:rsidP="005D4962">
      <w:pPr>
        <w:spacing w:line="580" w:lineRule="exact"/>
        <w:ind w:firstLine="560"/>
        <w:rPr>
          <w:rFonts w:ascii="仿宋_GB2312" w:eastAsia="仿宋_GB2312"/>
          <w:bCs/>
          <w:sz w:val="32"/>
          <w:szCs w:val="32"/>
        </w:rPr>
      </w:pPr>
      <w:r w:rsidRPr="005D4962">
        <w:rPr>
          <w:rFonts w:ascii="仿宋_GB2312" w:eastAsia="仿宋_GB2312" w:hint="eastAsia"/>
          <w:bCs/>
          <w:sz w:val="32"/>
          <w:szCs w:val="32"/>
        </w:rPr>
        <w:lastRenderedPageBreak/>
        <w:t>建议：在经费支出方面，加强预算管理，严格按照相关文件要求规范经费收支，严禁超范围支出公用经费，切实提高资金使用效益；在财务核算方面，严格按照政府财务制度规定核算固定资产，加强沟通和协调，促进各部门之间的合作，确保固定资产核算规范化</w:t>
      </w:r>
      <w:r w:rsidR="005D4962" w:rsidRPr="005D4962">
        <w:rPr>
          <w:rFonts w:ascii="仿宋_GB2312" w:eastAsia="仿宋_GB2312" w:hint="eastAsia"/>
          <w:bCs/>
          <w:sz w:val="32"/>
          <w:szCs w:val="32"/>
        </w:rPr>
        <w:t>。</w:t>
      </w:r>
    </w:p>
    <w:sectPr w:rsidR="00846223" w:rsidRPr="005D4962" w:rsidSect="00E92EFB">
      <w:pgSz w:w="11907" w:h="16840"/>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2D728" w14:textId="77777777" w:rsidR="00EF6B16" w:rsidRDefault="00EF6B16">
      <w:r>
        <w:separator/>
      </w:r>
    </w:p>
  </w:endnote>
  <w:endnote w:type="continuationSeparator" w:id="0">
    <w:p w14:paraId="445D7A6E" w14:textId="77777777" w:rsidR="00EF6B16" w:rsidRDefault="00EF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94432" w14:textId="77777777" w:rsidR="00EF6B16" w:rsidRDefault="00EF6B16">
      <w:r>
        <w:separator/>
      </w:r>
    </w:p>
  </w:footnote>
  <w:footnote w:type="continuationSeparator" w:id="0">
    <w:p w14:paraId="79DB8E45" w14:textId="77777777" w:rsidR="00EF6B16" w:rsidRDefault="00EF6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23464"/>
    <w:rsid w:val="00003ADA"/>
    <w:rsid w:val="00013F73"/>
    <w:rsid w:val="0002155A"/>
    <w:rsid w:val="00022911"/>
    <w:rsid w:val="000259DF"/>
    <w:rsid w:val="00026849"/>
    <w:rsid w:val="00030AE3"/>
    <w:rsid w:val="00037A67"/>
    <w:rsid w:val="0005145D"/>
    <w:rsid w:val="00086644"/>
    <w:rsid w:val="00092CD3"/>
    <w:rsid w:val="000936B7"/>
    <w:rsid w:val="00093AFD"/>
    <w:rsid w:val="00094551"/>
    <w:rsid w:val="000B028E"/>
    <w:rsid w:val="000B276C"/>
    <w:rsid w:val="000B6B63"/>
    <w:rsid w:val="000E0886"/>
    <w:rsid w:val="000E4154"/>
    <w:rsid w:val="000F0A89"/>
    <w:rsid w:val="00101DDC"/>
    <w:rsid w:val="001128B8"/>
    <w:rsid w:val="0012389D"/>
    <w:rsid w:val="0012693E"/>
    <w:rsid w:val="00126BE0"/>
    <w:rsid w:val="00143441"/>
    <w:rsid w:val="00153EE9"/>
    <w:rsid w:val="00160278"/>
    <w:rsid w:val="00162ED2"/>
    <w:rsid w:val="001655DB"/>
    <w:rsid w:val="00186367"/>
    <w:rsid w:val="001B1029"/>
    <w:rsid w:val="001B6908"/>
    <w:rsid w:val="001C211A"/>
    <w:rsid w:val="001C4251"/>
    <w:rsid w:val="001C44AC"/>
    <w:rsid w:val="001F24EA"/>
    <w:rsid w:val="001F4246"/>
    <w:rsid w:val="002204DF"/>
    <w:rsid w:val="002209CC"/>
    <w:rsid w:val="00223713"/>
    <w:rsid w:val="00232E06"/>
    <w:rsid w:val="002367D0"/>
    <w:rsid w:val="002459B6"/>
    <w:rsid w:val="0025013A"/>
    <w:rsid w:val="00250675"/>
    <w:rsid w:val="00264A5B"/>
    <w:rsid w:val="00292152"/>
    <w:rsid w:val="002A6785"/>
    <w:rsid w:val="002B0A7F"/>
    <w:rsid w:val="002B3C2E"/>
    <w:rsid w:val="002C0B70"/>
    <w:rsid w:val="002D2676"/>
    <w:rsid w:val="002D3908"/>
    <w:rsid w:val="002D7358"/>
    <w:rsid w:val="002E668D"/>
    <w:rsid w:val="002E6ADE"/>
    <w:rsid w:val="002E7273"/>
    <w:rsid w:val="002F215F"/>
    <w:rsid w:val="00326183"/>
    <w:rsid w:val="00333EEF"/>
    <w:rsid w:val="00341D45"/>
    <w:rsid w:val="0034729E"/>
    <w:rsid w:val="00372527"/>
    <w:rsid w:val="00380AB1"/>
    <w:rsid w:val="00381026"/>
    <w:rsid w:val="00383306"/>
    <w:rsid w:val="003840BB"/>
    <w:rsid w:val="00397A81"/>
    <w:rsid w:val="003A04AE"/>
    <w:rsid w:val="003A07FF"/>
    <w:rsid w:val="003C041E"/>
    <w:rsid w:val="003D15F4"/>
    <w:rsid w:val="003F399F"/>
    <w:rsid w:val="003F619A"/>
    <w:rsid w:val="00404B21"/>
    <w:rsid w:val="00406C23"/>
    <w:rsid w:val="00407F3A"/>
    <w:rsid w:val="00427F8B"/>
    <w:rsid w:val="00435A8D"/>
    <w:rsid w:val="00435C84"/>
    <w:rsid w:val="00436993"/>
    <w:rsid w:val="004517BE"/>
    <w:rsid w:val="004532A4"/>
    <w:rsid w:val="004536EE"/>
    <w:rsid w:val="00465B3C"/>
    <w:rsid w:val="0047080B"/>
    <w:rsid w:val="004A6350"/>
    <w:rsid w:val="004A6425"/>
    <w:rsid w:val="004C5482"/>
    <w:rsid w:val="004C5BA9"/>
    <w:rsid w:val="004C752D"/>
    <w:rsid w:val="004F56C7"/>
    <w:rsid w:val="00504A49"/>
    <w:rsid w:val="005137BA"/>
    <w:rsid w:val="00517304"/>
    <w:rsid w:val="005173D6"/>
    <w:rsid w:val="00520FFE"/>
    <w:rsid w:val="00523464"/>
    <w:rsid w:val="00531D77"/>
    <w:rsid w:val="00540616"/>
    <w:rsid w:val="0055477B"/>
    <w:rsid w:val="00557CAB"/>
    <w:rsid w:val="00565FF3"/>
    <w:rsid w:val="0057494F"/>
    <w:rsid w:val="00583475"/>
    <w:rsid w:val="005906FB"/>
    <w:rsid w:val="005909EC"/>
    <w:rsid w:val="00597B1A"/>
    <w:rsid w:val="005A2542"/>
    <w:rsid w:val="005B2D21"/>
    <w:rsid w:val="005D4962"/>
    <w:rsid w:val="005E49DE"/>
    <w:rsid w:val="005F2465"/>
    <w:rsid w:val="005F3673"/>
    <w:rsid w:val="005F47BE"/>
    <w:rsid w:val="005F5B5A"/>
    <w:rsid w:val="00600797"/>
    <w:rsid w:val="00602B8C"/>
    <w:rsid w:val="00603AD9"/>
    <w:rsid w:val="00606E0E"/>
    <w:rsid w:val="00612BF7"/>
    <w:rsid w:val="00613D87"/>
    <w:rsid w:val="00622754"/>
    <w:rsid w:val="00632633"/>
    <w:rsid w:val="00641D36"/>
    <w:rsid w:val="006439A1"/>
    <w:rsid w:val="00646ED7"/>
    <w:rsid w:val="006614FA"/>
    <w:rsid w:val="006941EF"/>
    <w:rsid w:val="006B02E5"/>
    <w:rsid w:val="006B1A29"/>
    <w:rsid w:val="006B66E5"/>
    <w:rsid w:val="006D06BD"/>
    <w:rsid w:val="006D176E"/>
    <w:rsid w:val="006D5724"/>
    <w:rsid w:val="006E29A9"/>
    <w:rsid w:val="006E653F"/>
    <w:rsid w:val="006F2451"/>
    <w:rsid w:val="006F751F"/>
    <w:rsid w:val="00704FAF"/>
    <w:rsid w:val="00712737"/>
    <w:rsid w:val="00721783"/>
    <w:rsid w:val="00725039"/>
    <w:rsid w:val="00725171"/>
    <w:rsid w:val="00735C18"/>
    <w:rsid w:val="00746A74"/>
    <w:rsid w:val="00756A74"/>
    <w:rsid w:val="0076799F"/>
    <w:rsid w:val="0078301F"/>
    <w:rsid w:val="007830A1"/>
    <w:rsid w:val="007900DA"/>
    <w:rsid w:val="00794BC2"/>
    <w:rsid w:val="00797182"/>
    <w:rsid w:val="007A16EB"/>
    <w:rsid w:val="007A18BE"/>
    <w:rsid w:val="007A19A5"/>
    <w:rsid w:val="007A2146"/>
    <w:rsid w:val="007A5721"/>
    <w:rsid w:val="007B4465"/>
    <w:rsid w:val="007C3CF5"/>
    <w:rsid w:val="007C5F59"/>
    <w:rsid w:val="007D164B"/>
    <w:rsid w:val="007D2AEE"/>
    <w:rsid w:val="007D7B7C"/>
    <w:rsid w:val="007E66A7"/>
    <w:rsid w:val="00803596"/>
    <w:rsid w:val="00807F0F"/>
    <w:rsid w:val="008200E4"/>
    <w:rsid w:val="008223AC"/>
    <w:rsid w:val="00824D2C"/>
    <w:rsid w:val="00825184"/>
    <w:rsid w:val="00827DEB"/>
    <w:rsid w:val="00831A9F"/>
    <w:rsid w:val="00835242"/>
    <w:rsid w:val="00846223"/>
    <w:rsid w:val="0085042B"/>
    <w:rsid w:val="008539B4"/>
    <w:rsid w:val="008545EB"/>
    <w:rsid w:val="00856437"/>
    <w:rsid w:val="00860DA6"/>
    <w:rsid w:val="0086497B"/>
    <w:rsid w:val="00866B4E"/>
    <w:rsid w:val="00882D35"/>
    <w:rsid w:val="00883BFC"/>
    <w:rsid w:val="008A3FFB"/>
    <w:rsid w:val="008C5FF7"/>
    <w:rsid w:val="008E67D9"/>
    <w:rsid w:val="008E691C"/>
    <w:rsid w:val="008E7524"/>
    <w:rsid w:val="008F2DEA"/>
    <w:rsid w:val="008F7B2C"/>
    <w:rsid w:val="00913525"/>
    <w:rsid w:val="00927C48"/>
    <w:rsid w:val="00950579"/>
    <w:rsid w:val="009656D9"/>
    <w:rsid w:val="00974EA9"/>
    <w:rsid w:val="009750BC"/>
    <w:rsid w:val="009753D0"/>
    <w:rsid w:val="009759FB"/>
    <w:rsid w:val="0098518B"/>
    <w:rsid w:val="009A1480"/>
    <w:rsid w:val="009A200C"/>
    <w:rsid w:val="009A5CEB"/>
    <w:rsid w:val="009B4E2F"/>
    <w:rsid w:val="009C379B"/>
    <w:rsid w:val="009C4584"/>
    <w:rsid w:val="009C4668"/>
    <w:rsid w:val="009C7485"/>
    <w:rsid w:val="009D5FC3"/>
    <w:rsid w:val="009E04B6"/>
    <w:rsid w:val="009E3110"/>
    <w:rsid w:val="00A05D02"/>
    <w:rsid w:val="00A0621F"/>
    <w:rsid w:val="00A11709"/>
    <w:rsid w:val="00A137F6"/>
    <w:rsid w:val="00A13D04"/>
    <w:rsid w:val="00A32379"/>
    <w:rsid w:val="00A33133"/>
    <w:rsid w:val="00A526C5"/>
    <w:rsid w:val="00A56E3B"/>
    <w:rsid w:val="00A60F55"/>
    <w:rsid w:val="00A6427C"/>
    <w:rsid w:val="00A670D8"/>
    <w:rsid w:val="00A735F8"/>
    <w:rsid w:val="00A91BCB"/>
    <w:rsid w:val="00AA769A"/>
    <w:rsid w:val="00AB01B6"/>
    <w:rsid w:val="00AB2299"/>
    <w:rsid w:val="00AC3703"/>
    <w:rsid w:val="00AC7C0D"/>
    <w:rsid w:val="00AD665C"/>
    <w:rsid w:val="00AF1562"/>
    <w:rsid w:val="00AF66DA"/>
    <w:rsid w:val="00AF6CF9"/>
    <w:rsid w:val="00B01684"/>
    <w:rsid w:val="00B16676"/>
    <w:rsid w:val="00B344B0"/>
    <w:rsid w:val="00B527CC"/>
    <w:rsid w:val="00B53AD9"/>
    <w:rsid w:val="00B56E20"/>
    <w:rsid w:val="00B57387"/>
    <w:rsid w:val="00B60E53"/>
    <w:rsid w:val="00B62340"/>
    <w:rsid w:val="00B62AF4"/>
    <w:rsid w:val="00B6306B"/>
    <w:rsid w:val="00B668D3"/>
    <w:rsid w:val="00B83770"/>
    <w:rsid w:val="00B9026D"/>
    <w:rsid w:val="00B9496A"/>
    <w:rsid w:val="00B9788D"/>
    <w:rsid w:val="00BA02F4"/>
    <w:rsid w:val="00BA244B"/>
    <w:rsid w:val="00BB2D5C"/>
    <w:rsid w:val="00BB40EF"/>
    <w:rsid w:val="00BD0AB5"/>
    <w:rsid w:val="00BD60FF"/>
    <w:rsid w:val="00BF15C9"/>
    <w:rsid w:val="00BF2327"/>
    <w:rsid w:val="00BF55CE"/>
    <w:rsid w:val="00C02D0C"/>
    <w:rsid w:val="00C038BD"/>
    <w:rsid w:val="00C06FAB"/>
    <w:rsid w:val="00C225AE"/>
    <w:rsid w:val="00C26355"/>
    <w:rsid w:val="00C26BE0"/>
    <w:rsid w:val="00C27780"/>
    <w:rsid w:val="00C3081A"/>
    <w:rsid w:val="00C34359"/>
    <w:rsid w:val="00C3512F"/>
    <w:rsid w:val="00C367C2"/>
    <w:rsid w:val="00C51C76"/>
    <w:rsid w:val="00C60195"/>
    <w:rsid w:val="00C61C2C"/>
    <w:rsid w:val="00C66A58"/>
    <w:rsid w:val="00C66C76"/>
    <w:rsid w:val="00C77AB5"/>
    <w:rsid w:val="00C80A1A"/>
    <w:rsid w:val="00C86BED"/>
    <w:rsid w:val="00CA443A"/>
    <w:rsid w:val="00CB1717"/>
    <w:rsid w:val="00CB4DC7"/>
    <w:rsid w:val="00CB7FFB"/>
    <w:rsid w:val="00CC0F17"/>
    <w:rsid w:val="00CD0BFE"/>
    <w:rsid w:val="00CD6752"/>
    <w:rsid w:val="00CE4D4D"/>
    <w:rsid w:val="00CF371C"/>
    <w:rsid w:val="00D02DD1"/>
    <w:rsid w:val="00D118A0"/>
    <w:rsid w:val="00D14E3C"/>
    <w:rsid w:val="00D22224"/>
    <w:rsid w:val="00D26AAC"/>
    <w:rsid w:val="00D50424"/>
    <w:rsid w:val="00D536FF"/>
    <w:rsid w:val="00D637B9"/>
    <w:rsid w:val="00D63F65"/>
    <w:rsid w:val="00D65441"/>
    <w:rsid w:val="00D66D46"/>
    <w:rsid w:val="00D67982"/>
    <w:rsid w:val="00D75B4F"/>
    <w:rsid w:val="00D81FDE"/>
    <w:rsid w:val="00D82FAE"/>
    <w:rsid w:val="00D860D3"/>
    <w:rsid w:val="00D91A64"/>
    <w:rsid w:val="00D92550"/>
    <w:rsid w:val="00D94518"/>
    <w:rsid w:val="00D96361"/>
    <w:rsid w:val="00DB7184"/>
    <w:rsid w:val="00DC3927"/>
    <w:rsid w:val="00DC51F6"/>
    <w:rsid w:val="00DC67BA"/>
    <w:rsid w:val="00DD7172"/>
    <w:rsid w:val="00DE111B"/>
    <w:rsid w:val="00DE69E5"/>
    <w:rsid w:val="00DF58FB"/>
    <w:rsid w:val="00E00E82"/>
    <w:rsid w:val="00E0115D"/>
    <w:rsid w:val="00E023CA"/>
    <w:rsid w:val="00E07638"/>
    <w:rsid w:val="00E0790A"/>
    <w:rsid w:val="00E13A75"/>
    <w:rsid w:val="00E15240"/>
    <w:rsid w:val="00E26A02"/>
    <w:rsid w:val="00E37C8F"/>
    <w:rsid w:val="00E44C39"/>
    <w:rsid w:val="00E464E7"/>
    <w:rsid w:val="00E46AA5"/>
    <w:rsid w:val="00E5171E"/>
    <w:rsid w:val="00E6588B"/>
    <w:rsid w:val="00E7423F"/>
    <w:rsid w:val="00E83394"/>
    <w:rsid w:val="00E833DA"/>
    <w:rsid w:val="00E84BF1"/>
    <w:rsid w:val="00E92EFB"/>
    <w:rsid w:val="00E9429A"/>
    <w:rsid w:val="00E9653C"/>
    <w:rsid w:val="00E96F53"/>
    <w:rsid w:val="00EA0B7B"/>
    <w:rsid w:val="00EA6B71"/>
    <w:rsid w:val="00EB7DC1"/>
    <w:rsid w:val="00EC481C"/>
    <w:rsid w:val="00ED7F2A"/>
    <w:rsid w:val="00EE3603"/>
    <w:rsid w:val="00EE424D"/>
    <w:rsid w:val="00EE663D"/>
    <w:rsid w:val="00EF2B10"/>
    <w:rsid w:val="00EF3813"/>
    <w:rsid w:val="00EF457F"/>
    <w:rsid w:val="00EF6B16"/>
    <w:rsid w:val="00F025C8"/>
    <w:rsid w:val="00F0365A"/>
    <w:rsid w:val="00F15A1D"/>
    <w:rsid w:val="00F1663D"/>
    <w:rsid w:val="00F20BF4"/>
    <w:rsid w:val="00F27B79"/>
    <w:rsid w:val="00F3024B"/>
    <w:rsid w:val="00F51A34"/>
    <w:rsid w:val="00F60CFB"/>
    <w:rsid w:val="00F635EF"/>
    <w:rsid w:val="00F71543"/>
    <w:rsid w:val="00F722AA"/>
    <w:rsid w:val="00F776BB"/>
    <w:rsid w:val="00F82769"/>
    <w:rsid w:val="00F90E0A"/>
    <w:rsid w:val="00F956DB"/>
    <w:rsid w:val="00F95EA9"/>
    <w:rsid w:val="00FA0564"/>
    <w:rsid w:val="00FA2A88"/>
    <w:rsid w:val="00FB32F1"/>
    <w:rsid w:val="00FB69A2"/>
    <w:rsid w:val="00FC1B59"/>
    <w:rsid w:val="00FD0B19"/>
    <w:rsid w:val="00FE0351"/>
    <w:rsid w:val="00FF3230"/>
    <w:rsid w:val="00FF55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C30C6"/>
  <w15:docId w15:val="{78AA1BA1-BF69-49AD-9075-0ABEBC64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92EFB"/>
    <w:pPr>
      <w:widowControl w:val="0"/>
      <w:jc w:val="both"/>
    </w:pPr>
    <w:rPr>
      <w:kern w:val="2"/>
      <w:sz w:val="21"/>
      <w:szCs w:val="24"/>
    </w:rPr>
  </w:style>
  <w:style w:type="paragraph" w:styleId="1">
    <w:name w:val="heading 1"/>
    <w:basedOn w:val="a"/>
    <w:next w:val="a"/>
    <w:rsid w:val="00E92EFB"/>
    <w:pPr>
      <w:keepNext/>
      <w:keepLines/>
      <w:spacing w:before="340" w:after="330" w:line="578" w:lineRule="auto"/>
      <w:outlineLvl w:val="0"/>
    </w:pPr>
    <w:rPr>
      <w:b/>
      <w:bCs/>
      <w:kern w:val="44"/>
      <w:sz w:val="44"/>
      <w:szCs w:val="44"/>
    </w:rPr>
  </w:style>
  <w:style w:type="paragraph" w:styleId="2">
    <w:name w:val="heading 2"/>
    <w:basedOn w:val="a"/>
    <w:next w:val="a"/>
    <w:rsid w:val="00E92EFB"/>
    <w:pPr>
      <w:keepNext/>
      <w:keepLines/>
      <w:spacing w:before="260" w:after="260" w:line="415" w:lineRule="auto"/>
      <w:outlineLvl w:val="1"/>
    </w:pPr>
    <w:rPr>
      <w:rFonts w:eastAsia="黑体"/>
      <w:b/>
      <w:bCs/>
      <w:sz w:val="32"/>
      <w:szCs w:val="32"/>
    </w:rPr>
  </w:style>
  <w:style w:type="paragraph" w:styleId="3">
    <w:name w:val="heading 3"/>
    <w:basedOn w:val="a"/>
    <w:next w:val="a"/>
    <w:rsid w:val="00E92EFB"/>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E92EFB"/>
    <w:pPr>
      <w:spacing w:line="360" w:lineRule="auto"/>
      <w:ind w:firstLineChars="200" w:firstLine="200"/>
    </w:pPr>
    <w:rPr>
      <w:rFonts w:ascii="Calibri" w:hAnsi="Calibri" w:cs="Arial"/>
      <w:sz w:val="32"/>
      <w:szCs w:val="22"/>
    </w:rPr>
  </w:style>
  <w:style w:type="paragraph" w:styleId="a4">
    <w:name w:val="Body Text"/>
    <w:basedOn w:val="a"/>
    <w:rsid w:val="00E92EFB"/>
    <w:pPr>
      <w:autoSpaceDE w:val="0"/>
      <w:autoSpaceDN w:val="0"/>
      <w:jc w:val="left"/>
    </w:pPr>
    <w:rPr>
      <w:rFonts w:ascii="仿宋_GB2312" w:eastAsia="仿宋_GB2312" w:cs="仿宋_GB2312"/>
      <w:kern w:val="0"/>
      <w:sz w:val="24"/>
    </w:rPr>
  </w:style>
  <w:style w:type="paragraph" w:customStyle="1" w:styleId="TableParagraph">
    <w:name w:val="Table Paragraph"/>
    <w:basedOn w:val="a"/>
    <w:rsid w:val="00E92EFB"/>
    <w:pPr>
      <w:autoSpaceDE w:val="0"/>
      <w:autoSpaceDN w:val="0"/>
      <w:jc w:val="center"/>
    </w:pPr>
    <w:rPr>
      <w:rFonts w:ascii="仿宋_GB2312" w:eastAsia="仿宋_GB2312" w:cs="仿宋_GB2312"/>
      <w:kern w:val="0"/>
      <w:sz w:val="22"/>
      <w:szCs w:val="22"/>
    </w:rPr>
  </w:style>
  <w:style w:type="paragraph" w:styleId="a5">
    <w:name w:val="header"/>
    <w:basedOn w:val="a"/>
    <w:rsid w:val="00E92EFB"/>
    <w:pPr>
      <w:pBdr>
        <w:bottom w:val="single" w:sz="6" w:space="1" w:color="auto"/>
      </w:pBdr>
      <w:tabs>
        <w:tab w:val="center" w:pos="4153"/>
        <w:tab w:val="right" w:pos="8306"/>
      </w:tabs>
      <w:snapToGrid w:val="0"/>
      <w:jc w:val="center"/>
    </w:pPr>
    <w:rPr>
      <w:sz w:val="18"/>
      <w:szCs w:val="18"/>
    </w:rPr>
  </w:style>
  <w:style w:type="paragraph" w:styleId="a6">
    <w:name w:val="footer"/>
    <w:basedOn w:val="a"/>
    <w:rsid w:val="00E92EFB"/>
    <w:pPr>
      <w:tabs>
        <w:tab w:val="center" w:pos="4153"/>
        <w:tab w:val="right" w:pos="8306"/>
      </w:tabs>
      <w:snapToGrid w:val="0"/>
      <w:jc w:val="left"/>
    </w:pPr>
    <w:rPr>
      <w:sz w:val="18"/>
      <w:szCs w:val="18"/>
    </w:rPr>
  </w:style>
  <w:style w:type="paragraph" w:styleId="a7">
    <w:name w:val="Date"/>
    <w:basedOn w:val="a"/>
    <w:next w:val="a"/>
    <w:rsid w:val="00E92EFB"/>
    <w:pPr>
      <w:ind w:leftChars="2500" w:left="2500"/>
    </w:pPr>
  </w:style>
  <w:style w:type="paragraph" w:styleId="20">
    <w:name w:val="Body Text First Indent 2"/>
    <w:basedOn w:val="a"/>
    <w:next w:val="a"/>
    <w:rsid w:val="00E92EFB"/>
    <w:pPr>
      <w:ind w:firstLineChars="200" w:firstLine="200"/>
    </w:pPr>
    <w:rPr>
      <w:kern w:val="0"/>
      <w:sz w:val="24"/>
      <w:szCs w:val="20"/>
      <w:lang w:val="zh-CN"/>
    </w:rPr>
  </w:style>
  <w:style w:type="table" w:styleId="a8">
    <w:name w:val="Table Grid"/>
    <w:basedOn w:val="a1"/>
    <w:uiPriority w:val="59"/>
    <w:rsid w:val="00220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71051">
      <w:bodyDiv w:val="1"/>
      <w:marLeft w:val="0"/>
      <w:marRight w:val="0"/>
      <w:marTop w:val="0"/>
      <w:marBottom w:val="0"/>
      <w:divBdr>
        <w:top w:val="none" w:sz="0" w:space="0" w:color="auto"/>
        <w:left w:val="none" w:sz="0" w:space="0" w:color="auto"/>
        <w:bottom w:val="none" w:sz="0" w:space="0" w:color="auto"/>
        <w:right w:val="none" w:sz="0" w:space="0" w:color="auto"/>
      </w:divBdr>
    </w:div>
    <w:div w:id="351611647">
      <w:bodyDiv w:val="1"/>
      <w:marLeft w:val="0"/>
      <w:marRight w:val="0"/>
      <w:marTop w:val="0"/>
      <w:marBottom w:val="0"/>
      <w:divBdr>
        <w:top w:val="none" w:sz="0" w:space="0" w:color="auto"/>
        <w:left w:val="none" w:sz="0" w:space="0" w:color="auto"/>
        <w:bottom w:val="none" w:sz="0" w:space="0" w:color="auto"/>
        <w:right w:val="none" w:sz="0" w:space="0" w:color="auto"/>
      </w:divBdr>
    </w:div>
    <w:div w:id="402528738">
      <w:bodyDiv w:val="1"/>
      <w:marLeft w:val="0"/>
      <w:marRight w:val="0"/>
      <w:marTop w:val="0"/>
      <w:marBottom w:val="0"/>
      <w:divBdr>
        <w:top w:val="none" w:sz="0" w:space="0" w:color="auto"/>
        <w:left w:val="none" w:sz="0" w:space="0" w:color="auto"/>
        <w:bottom w:val="none" w:sz="0" w:space="0" w:color="auto"/>
        <w:right w:val="none" w:sz="0" w:space="0" w:color="auto"/>
      </w:divBdr>
    </w:div>
    <w:div w:id="458769135">
      <w:bodyDiv w:val="1"/>
      <w:marLeft w:val="0"/>
      <w:marRight w:val="0"/>
      <w:marTop w:val="0"/>
      <w:marBottom w:val="0"/>
      <w:divBdr>
        <w:top w:val="none" w:sz="0" w:space="0" w:color="auto"/>
        <w:left w:val="none" w:sz="0" w:space="0" w:color="auto"/>
        <w:bottom w:val="none" w:sz="0" w:space="0" w:color="auto"/>
        <w:right w:val="none" w:sz="0" w:space="0" w:color="auto"/>
      </w:divBdr>
    </w:div>
    <w:div w:id="482351368">
      <w:bodyDiv w:val="1"/>
      <w:marLeft w:val="0"/>
      <w:marRight w:val="0"/>
      <w:marTop w:val="0"/>
      <w:marBottom w:val="0"/>
      <w:divBdr>
        <w:top w:val="none" w:sz="0" w:space="0" w:color="auto"/>
        <w:left w:val="none" w:sz="0" w:space="0" w:color="auto"/>
        <w:bottom w:val="none" w:sz="0" w:space="0" w:color="auto"/>
        <w:right w:val="none" w:sz="0" w:space="0" w:color="auto"/>
      </w:divBdr>
    </w:div>
    <w:div w:id="548689115">
      <w:bodyDiv w:val="1"/>
      <w:marLeft w:val="0"/>
      <w:marRight w:val="0"/>
      <w:marTop w:val="0"/>
      <w:marBottom w:val="0"/>
      <w:divBdr>
        <w:top w:val="none" w:sz="0" w:space="0" w:color="auto"/>
        <w:left w:val="none" w:sz="0" w:space="0" w:color="auto"/>
        <w:bottom w:val="none" w:sz="0" w:space="0" w:color="auto"/>
        <w:right w:val="none" w:sz="0" w:space="0" w:color="auto"/>
      </w:divBdr>
    </w:div>
    <w:div w:id="609357369">
      <w:bodyDiv w:val="1"/>
      <w:marLeft w:val="0"/>
      <w:marRight w:val="0"/>
      <w:marTop w:val="0"/>
      <w:marBottom w:val="0"/>
      <w:divBdr>
        <w:top w:val="none" w:sz="0" w:space="0" w:color="auto"/>
        <w:left w:val="none" w:sz="0" w:space="0" w:color="auto"/>
        <w:bottom w:val="none" w:sz="0" w:space="0" w:color="auto"/>
        <w:right w:val="none" w:sz="0" w:space="0" w:color="auto"/>
      </w:divBdr>
    </w:div>
    <w:div w:id="650525225">
      <w:bodyDiv w:val="1"/>
      <w:marLeft w:val="0"/>
      <w:marRight w:val="0"/>
      <w:marTop w:val="0"/>
      <w:marBottom w:val="0"/>
      <w:divBdr>
        <w:top w:val="none" w:sz="0" w:space="0" w:color="auto"/>
        <w:left w:val="none" w:sz="0" w:space="0" w:color="auto"/>
        <w:bottom w:val="none" w:sz="0" w:space="0" w:color="auto"/>
        <w:right w:val="none" w:sz="0" w:space="0" w:color="auto"/>
      </w:divBdr>
    </w:div>
    <w:div w:id="904028121">
      <w:bodyDiv w:val="1"/>
      <w:marLeft w:val="0"/>
      <w:marRight w:val="0"/>
      <w:marTop w:val="0"/>
      <w:marBottom w:val="0"/>
      <w:divBdr>
        <w:top w:val="none" w:sz="0" w:space="0" w:color="auto"/>
        <w:left w:val="none" w:sz="0" w:space="0" w:color="auto"/>
        <w:bottom w:val="none" w:sz="0" w:space="0" w:color="auto"/>
        <w:right w:val="none" w:sz="0" w:space="0" w:color="auto"/>
      </w:divBdr>
    </w:div>
    <w:div w:id="973101366">
      <w:bodyDiv w:val="1"/>
      <w:marLeft w:val="0"/>
      <w:marRight w:val="0"/>
      <w:marTop w:val="0"/>
      <w:marBottom w:val="0"/>
      <w:divBdr>
        <w:top w:val="none" w:sz="0" w:space="0" w:color="auto"/>
        <w:left w:val="none" w:sz="0" w:space="0" w:color="auto"/>
        <w:bottom w:val="none" w:sz="0" w:space="0" w:color="auto"/>
        <w:right w:val="none" w:sz="0" w:space="0" w:color="auto"/>
      </w:divBdr>
    </w:div>
    <w:div w:id="1215964421">
      <w:bodyDiv w:val="1"/>
      <w:marLeft w:val="0"/>
      <w:marRight w:val="0"/>
      <w:marTop w:val="0"/>
      <w:marBottom w:val="0"/>
      <w:divBdr>
        <w:top w:val="none" w:sz="0" w:space="0" w:color="auto"/>
        <w:left w:val="none" w:sz="0" w:space="0" w:color="auto"/>
        <w:bottom w:val="none" w:sz="0" w:space="0" w:color="auto"/>
        <w:right w:val="none" w:sz="0" w:space="0" w:color="auto"/>
      </w:divBdr>
    </w:div>
    <w:div w:id="1309750301">
      <w:bodyDiv w:val="1"/>
      <w:marLeft w:val="0"/>
      <w:marRight w:val="0"/>
      <w:marTop w:val="0"/>
      <w:marBottom w:val="0"/>
      <w:divBdr>
        <w:top w:val="none" w:sz="0" w:space="0" w:color="auto"/>
        <w:left w:val="none" w:sz="0" w:space="0" w:color="auto"/>
        <w:bottom w:val="none" w:sz="0" w:space="0" w:color="auto"/>
        <w:right w:val="none" w:sz="0" w:space="0" w:color="auto"/>
      </w:divBdr>
    </w:div>
    <w:div w:id="1347906637">
      <w:bodyDiv w:val="1"/>
      <w:marLeft w:val="0"/>
      <w:marRight w:val="0"/>
      <w:marTop w:val="0"/>
      <w:marBottom w:val="0"/>
      <w:divBdr>
        <w:top w:val="none" w:sz="0" w:space="0" w:color="auto"/>
        <w:left w:val="none" w:sz="0" w:space="0" w:color="auto"/>
        <w:bottom w:val="none" w:sz="0" w:space="0" w:color="auto"/>
        <w:right w:val="none" w:sz="0" w:space="0" w:color="auto"/>
      </w:divBdr>
    </w:div>
    <w:div w:id="1383359641">
      <w:bodyDiv w:val="1"/>
      <w:marLeft w:val="0"/>
      <w:marRight w:val="0"/>
      <w:marTop w:val="0"/>
      <w:marBottom w:val="0"/>
      <w:divBdr>
        <w:top w:val="none" w:sz="0" w:space="0" w:color="auto"/>
        <w:left w:val="none" w:sz="0" w:space="0" w:color="auto"/>
        <w:bottom w:val="none" w:sz="0" w:space="0" w:color="auto"/>
        <w:right w:val="none" w:sz="0" w:space="0" w:color="auto"/>
      </w:divBdr>
    </w:div>
    <w:div w:id="1496147620">
      <w:bodyDiv w:val="1"/>
      <w:marLeft w:val="0"/>
      <w:marRight w:val="0"/>
      <w:marTop w:val="0"/>
      <w:marBottom w:val="0"/>
      <w:divBdr>
        <w:top w:val="none" w:sz="0" w:space="0" w:color="auto"/>
        <w:left w:val="none" w:sz="0" w:space="0" w:color="auto"/>
        <w:bottom w:val="none" w:sz="0" w:space="0" w:color="auto"/>
        <w:right w:val="none" w:sz="0" w:space="0" w:color="auto"/>
      </w:divBdr>
    </w:div>
    <w:div w:id="1590121779">
      <w:bodyDiv w:val="1"/>
      <w:marLeft w:val="0"/>
      <w:marRight w:val="0"/>
      <w:marTop w:val="0"/>
      <w:marBottom w:val="0"/>
      <w:divBdr>
        <w:top w:val="none" w:sz="0" w:space="0" w:color="auto"/>
        <w:left w:val="none" w:sz="0" w:space="0" w:color="auto"/>
        <w:bottom w:val="none" w:sz="0" w:space="0" w:color="auto"/>
        <w:right w:val="none" w:sz="0" w:space="0" w:color="auto"/>
      </w:divBdr>
    </w:div>
    <w:div w:id="1612588901">
      <w:bodyDiv w:val="1"/>
      <w:marLeft w:val="0"/>
      <w:marRight w:val="0"/>
      <w:marTop w:val="0"/>
      <w:marBottom w:val="0"/>
      <w:divBdr>
        <w:top w:val="none" w:sz="0" w:space="0" w:color="auto"/>
        <w:left w:val="none" w:sz="0" w:space="0" w:color="auto"/>
        <w:bottom w:val="none" w:sz="0" w:space="0" w:color="auto"/>
        <w:right w:val="none" w:sz="0" w:space="0" w:color="auto"/>
      </w:divBdr>
    </w:div>
    <w:div w:id="1652323653">
      <w:bodyDiv w:val="1"/>
      <w:marLeft w:val="0"/>
      <w:marRight w:val="0"/>
      <w:marTop w:val="0"/>
      <w:marBottom w:val="0"/>
      <w:divBdr>
        <w:top w:val="none" w:sz="0" w:space="0" w:color="auto"/>
        <w:left w:val="none" w:sz="0" w:space="0" w:color="auto"/>
        <w:bottom w:val="none" w:sz="0" w:space="0" w:color="auto"/>
        <w:right w:val="none" w:sz="0" w:space="0" w:color="auto"/>
      </w:divBdr>
    </w:div>
    <w:div w:id="1670869577">
      <w:bodyDiv w:val="1"/>
      <w:marLeft w:val="0"/>
      <w:marRight w:val="0"/>
      <w:marTop w:val="0"/>
      <w:marBottom w:val="0"/>
      <w:divBdr>
        <w:top w:val="none" w:sz="0" w:space="0" w:color="auto"/>
        <w:left w:val="none" w:sz="0" w:space="0" w:color="auto"/>
        <w:bottom w:val="none" w:sz="0" w:space="0" w:color="auto"/>
        <w:right w:val="none" w:sz="0" w:space="0" w:color="auto"/>
      </w:divBdr>
    </w:div>
    <w:div w:id="1824079991">
      <w:bodyDiv w:val="1"/>
      <w:marLeft w:val="0"/>
      <w:marRight w:val="0"/>
      <w:marTop w:val="0"/>
      <w:marBottom w:val="0"/>
      <w:divBdr>
        <w:top w:val="none" w:sz="0" w:space="0" w:color="auto"/>
        <w:left w:val="none" w:sz="0" w:space="0" w:color="auto"/>
        <w:bottom w:val="none" w:sz="0" w:space="0" w:color="auto"/>
        <w:right w:val="none" w:sz="0" w:space="0" w:color="auto"/>
      </w:divBdr>
    </w:div>
    <w:div w:id="1871140297">
      <w:bodyDiv w:val="1"/>
      <w:marLeft w:val="0"/>
      <w:marRight w:val="0"/>
      <w:marTop w:val="0"/>
      <w:marBottom w:val="0"/>
      <w:divBdr>
        <w:top w:val="none" w:sz="0" w:space="0" w:color="auto"/>
        <w:left w:val="none" w:sz="0" w:space="0" w:color="auto"/>
        <w:bottom w:val="none" w:sz="0" w:space="0" w:color="auto"/>
        <w:right w:val="none" w:sz="0" w:space="0" w:color="auto"/>
      </w:divBdr>
    </w:div>
    <w:div w:id="2133480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A33B3-A201-401F-AC36-2BAA973C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458</Words>
  <Characters>2615</Characters>
  <Application>Microsoft Office Word</Application>
  <DocSecurity>0</DocSecurity>
  <Lines>21</Lines>
  <Paragraphs>6</Paragraphs>
  <ScaleCrop>false</ScaleCrop>
  <Company>Microsoft</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xiaoguang chen</cp:lastModifiedBy>
  <cp:revision>7</cp:revision>
  <cp:lastPrinted>2022-07-11T01:53:00Z</cp:lastPrinted>
  <dcterms:created xsi:type="dcterms:W3CDTF">2023-11-01T06:59:00Z</dcterms:created>
  <dcterms:modified xsi:type="dcterms:W3CDTF">2023-11-06T06:56:00Z</dcterms:modified>
</cp:coreProperties>
</file>