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BFD6" w14:textId="77777777" w:rsidR="00600660" w:rsidRDefault="00600660" w:rsidP="00600660">
      <w:pPr>
        <w:widowControl/>
        <w:spacing w:line="640" w:lineRule="exact"/>
        <w:jc w:val="center"/>
        <w:rPr>
          <w:rFonts w:ascii="方正小标宋简体" w:eastAsia="方正小标宋简体"/>
          <w:b/>
          <w:color w:val="000000"/>
          <w:kern w:val="0"/>
          <w:sz w:val="44"/>
          <w:szCs w:val="44"/>
        </w:rPr>
      </w:pPr>
      <w:r>
        <w:rPr>
          <w:rFonts w:ascii="方正小标宋简体" w:eastAsia="方正小标宋简体" w:hint="eastAsia"/>
          <w:b/>
          <w:color w:val="000000"/>
          <w:kern w:val="0"/>
          <w:sz w:val="44"/>
          <w:szCs w:val="44"/>
        </w:rPr>
        <w:t>秦皇岛市2020-2022年度社会公益活动</w:t>
      </w:r>
    </w:p>
    <w:p w14:paraId="1CC36E5A" w14:textId="77777777" w:rsidR="00600660" w:rsidRDefault="00600660" w:rsidP="00600660">
      <w:pPr>
        <w:widowControl/>
        <w:spacing w:line="640" w:lineRule="exact"/>
        <w:jc w:val="center"/>
        <w:rPr>
          <w:rFonts w:ascii="方正小标宋简体" w:eastAsia="方正小标宋简体" w:cs="宋体"/>
          <w:b/>
          <w:kern w:val="0"/>
          <w:sz w:val="44"/>
          <w:szCs w:val="44"/>
        </w:rPr>
      </w:pPr>
      <w:r>
        <w:rPr>
          <w:rFonts w:ascii="方正小标宋简体" w:eastAsia="方正小标宋简体" w:hint="eastAsia"/>
          <w:b/>
          <w:color w:val="000000"/>
          <w:kern w:val="0"/>
          <w:sz w:val="44"/>
          <w:szCs w:val="44"/>
        </w:rPr>
        <w:t>项目支出</w:t>
      </w:r>
      <w:r>
        <w:rPr>
          <w:rFonts w:ascii="方正小标宋简体" w:eastAsia="方正小标宋简体" w:cs="宋体" w:hint="eastAsia"/>
          <w:b/>
          <w:kern w:val="0"/>
          <w:sz w:val="44"/>
          <w:szCs w:val="44"/>
        </w:rPr>
        <w:t>绩效评价报告</w:t>
      </w:r>
    </w:p>
    <w:p w14:paraId="106D44F8" w14:textId="77777777" w:rsidR="00600660" w:rsidRDefault="00600660" w:rsidP="00600660">
      <w:pPr>
        <w:widowControl/>
        <w:spacing w:line="500" w:lineRule="exact"/>
        <w:ind w:firstLineChars="200" w:firstLine="560"/>
        <w:rPr>
          <w:rFonts w:ascii="仿宋_GB2312" w:eastAsia="仿宋_GB2312"/>
          <w:sz w:val="28"/>
          <w:szCs w:val="28"/>
        </w:rPr>
      </w:pPr>
    </w:p>
    <w:p w14:paraId="4AFBA281" w14:textId="77777777" w:rsidR="00600660" w:rsidRPr="00823BAD" w:rsidRDefault="00600660" w:rsidP="00600660">
      <w:pPr>
        <w:widowControl/>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为贯彻落实全面实施预算绩效管理工作要求，进一步加强财政支出项目绩效管理和追踪问效，提升财政资金配置效率、使用效益和政府公共服务管理水平，受秦皇岛财政局委托，卓越会计师河北事务所（普通合伙）承担2020年至2022年秦皇岛市民政局社会公益活动项目绩效评价工作。评价小组根据绩效评价工作方案开展本次评价工作，经过项目数据采集、访谈、社会调查等必要评价程序，运用绩效原理和统计方法，在梳理、分析评价数据资料基础上，形成本评价报告。</w:t>
      </w:r>
    </w:p>
    <w:p w14:paraId="3296027C" w14:textId="77777777" w:rsidR="00600660" w:rsidRPr="00823BAD" w:rsidRDefault="00600660" w:rsidP="00600660">
      <w:pPr>
        <w:spacing w:line="580" w:lineRule="exact"/>
        <w:ind w:firstLineChars="200" w:firstLine="640"/>
        <w:rPr>
          <w:rFonts w:ascii="仿宋_GB2312" w:eastAsia="仿宋_GB2312"/>
          <w:b/>
          <w:bCs/>
          <w:sz w:val="32"/>
          <w:szCs w:val="32"/>
        </w:rPr>
      </w:pPr>
      <w:r w:rsidRPr="00823BAD">
        <w:rPr>
          <w:rFonts w:ascii="仿宋_GB2312" w:eastAsia="仿宋_GB2312" w:hint="eastAsia"/>
          <w:b/>
          <w:bCs/>
          <w:sz w:val="32"/>
          <w:szCs w:val="32"/>
        </w:rPr>
        <w:t>一、项目概况</w:t>
      </w:r>
    </w:p>
    <w:p w14:paraId="3FEA1DCC" w14:textId="77777777" w:rsidR="00600660" w:rsidRPr="00823BAD" w:rsidRDefault="00600660" w:rsidP="00600660">
      <w:pPr>
        <w:spacing w:line="580" w:lineRule="exact"/>
        <w:ind w:firstLineChars="200" w:firstLine="640"/>
        <w:rPr>
          <w:rFonts w:ascii="仿宋_GB2312" w:eastAsia="仿宋_GB2312"/>
          <w:b/>
          <w:bCs/>
          <w:sz w:val="32"/>
          <w:szCs w:val="32"/>
        </w:rPr>
      </w:pPr>
      <w:r w:rsidRPr="00823BAD">
        <w:rPr>
          <w:rFonts w:ascii="仿宋_GB2312" w:eastAsia="仿宋_GB2312" w:hint="eastAsia"/>
          <w:b/>
          <w:bCs/>
          <w:sz w:val="32"/>
          <w:szCs w:val="32"/>
        </w:rPr>
        <w:t>（一）项目背景</w:t>
      </w:r>
    </w:p>
    <w:p w14:paraId="1385F148"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本项目包含采购救助物资、社工站建设和社会</w:t>
      </w:r>
      <w:r w:rsidRPr="00823BAD">
        <w:rPr>
          <w:rFonts w:ascii="仿宋_GB2312" w:eastAsia="仿宋_GB2312" w:cs="宋体" w:hint="eastAsia"/>
          <w:sz w:val="32"/>
          <w:szCs w:val="32"/>
        </w:rPr>
        <w:t>工作者考前培训三个组成部分。各部门的项目背景介绍如下：</w:t>
      </w:r>
    </w:p>
    <w:p w14:paraId="1486064A"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1、采购救助物资</w:t>
      </w:r>
    </w:p>
    <w:p w14:paraId="74AC0205"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根据财政部《彩票公益金管理办法》（财综〔2007〕83号）以及《河北省彩票公益金管理实施办法》（冀财综〔2008〕67号）文件要求，彩票公益金使用要坚持取之于民、用之于民，勤俭节约、量入为出和公益性原则，重点用于社会福利、体育和其他社会公益事业。福利彩票公益金的使用要以“扶老、助残、救孤、济困”为宗旨。使用范围包括资助老年人、</w:t>
      </w:r>
      <w:r w:rsidRPr="00823BAD">
        <w:rPr>
          <w:rFonts w:ascii="仿宋_GB2312" w:eastAsia="仿宋_GB2312" w:hint="eastAsia"/>
          <w:sz w:val="32"/>
          <w:szCs w:val="32"/>
        </w:rPr>
        <w:lastRenderedPageBreak/>
        <w:t>残疾人、孤儿、革命伤残军人等特殊困难群体以及为这些特殊困难群体服务的社会福利事业，支持社区服务、社会福利企业和其他社会公益、慈善事业的发展。据此，秦皇岛市民政局开展社会公益活动项目，采购救助物资、发放困难群众。</w:t>
      </w:r>
    </w:p>
    <w:p w14:paraId="05D6826A"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2、社工站建设</w:t>
      </w:r>
    </w:p>
    <w:p w14:paraId="1155D515"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根据中共秦皇岛市委 秦皇岛市人民政府印发《关于加强和完善城乡社区治理的实施方案》的通知（秦字〔2018〕12号）文件要求，按照“政府扶持、社会承接、专业支撑、项目运作”的思路，探索建立以社区为平台、社会组织为载体、社会工作专业人才为支撑的“三社联动”机制，通过政府购买服务、提供服务场所、转移服务事项、给予政策支持等方式，开放社区服务资源，拓展社会组织参与社区治理的空间。以城市社区老年人、未成年人、残疾人、低收入家庭和社区矫正人员为重点，开展社区照顾、社区救助、社区融入、社区矫正、精神减压与心理疏导等服务。鼓励和引导具备法人资格的农村集体经济组织、农民专业合作社组织、社会组织、公益性服务机构和其他经济组织及个体工商户等，承接政府购买服务项目，更好满足城乡居民服务需求。根据河北省民政厅、河北省财政厅《关于推进社会工作高质量发展畅通参与基层社会治理途径的意见》（冀民 〔2021〕19号）规定，各地可通过政府购买服务方式，畅通社会工作参与基层社会治理的途径，政府购买服务项目所需资金应当在相关部门预算中统筹安排，并与中期财政规划相衔接。逐步加大民政部门使用的彩票公益金支持社会工作专业人才队</w:t>
      </w:r>
      <w:r w:rsidRPr="00823BAD">
        <w:rPr>
          <w:rFonts w:ascii="仿宋_GB2312" w:eastAsia="仿宋_GB2312" w:hint="eastAsia"/>
          <w:sz w:val="32"/>
          <w:szCs w:val="32"/>
        </w:rPr>
        <w:lastRenderedPageBreak/>
        <w:t>伍建设力度。据此，秦皇岛市民政局开展社会公益活动项目，开展社工服务站建设工作。</w:t>
      </w:r>
    </w:p>
    <w:p w14:paraId="24DC3F6D"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3、社会工作者考前培训</w:t>
      </w:r>
    </w:p>
    <w:p w14:paraId="307A064D"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根据中共河北省委组织部印发《河北省关于加强社会工作专业人才队伍建设的实施意见》的通知（冀组〔2013〕4号）文件要求，健全社会工作专业培训制度，组织实施社会工作服务人才职业能力建设工程，重点对城乡基层居 （村） 民自治组织、社区服务组织、公益服务类事业单位、公益慈善类社会组织、基层社会服务部门直接从事社会服务的人员进行大规模、系统化的社会工作专业知识培训，切实提高其职业素质和专业水平。财政部门要将由政府负担的社会工作专业人才队伍建设经费纳入财政预算，加大财政投入。据此，秦皇岛市民政局开展社会公益活动项目，开展社会工作者考前培训工作。</w:t>
      </w:r>
    </w:p>
    <w:p w14:paraId="5450794F" w14:textId="77777777" w:rsidR="00600660" w:rsidRPr="00823BAD" w:rsidRDefault="00600660" w:rsidP="00600660">
      <w:pPr>
        <w:spacing w:line="580" w:lineRule="exact"/>
        <w:ind w:firstLineChars="200" w:firstLine="640"/>
        <w:rPr>
          <w:rFonts w:ascii="仿宋_GB2312" w:eastAsia="仿宋_GB2312"/>
          <w:b/>
          <w:bCs/>
          <w:sz w:val="32"/>
          <w:szCs w:val="32"/>
        </w:rPr>
      </w:pPr>
      <w:r w:rsidRPr="00823BAD">
        <w:rPr>
          <w:rFonts w:ascii="仿宋_GB2312" w:eastAsia="仿宋_GB2312" w:hint="eastAsia"/>
          <w:b/>
          <w:bCs/>
          <w:sz w:val="32"/>
          <w:szCs w:val="32"/>
        </w:rPr>
        <w:t>（二）项目内容</w:t>
      </w:r>
    </w:p>
    <w:p w14:paraId="2E4AB486"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本项目包含采购困难群众生活救助物资、社区工作人员考前培训和社会服务工作服务中心项目三部分，其中社会服务工作服务中心项目又包含了项目建设和评估检测两个子项。</w:t>
      </w:r>
    </w:p>
    <w:p w14:paraId="02FC56F2"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1、采购救助物资</w:t>
      </w:r>
    </w:p>
    <w:p w14:paraId="25A0225C"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由市民政局采购米面油等救助物资，全部发放给各县区，由各县区再发放给养老院和困难群众等受益对象。</w:t>
      </w:r>
    </w:p>
    <w:p w14:paraId="0B52EFDB"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2、社工站建设</w:t>
      </w:r>
    </w:p>
    <w:p w14:paraId="07C8532B"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由市民政局采用政府购买服务方式，委托社会组织参与</w:t>
      </w:r>
      <w:r w:rsidRPr="00823BAD">
        <w:rPr>
          <w:rFonts w:ascii="仿宋_GB2312" w:eastAsia="仿宋_GB2312" w:hint="eastAsia"/>
          <w:sz w:val="32"/>
          <w:szCs w:val="32"/>
        </w:rPr>
        <w:lastRenderedPageBreak/>
        <w:t>社区治理。以城市社区老年人、未成年人、残疾人、低收入家庭和社区矫正人员为重点，开展社区照顾、社区救助、社区融入、社区矫正、精神减压与心理疏导等服务。</w:t>
      </w:r>
    </w:p>
    <w:p w14:paraId="2B2B4B59"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委托第三方评价机构对社区站建设情况进行年中和年度评价。</w:t>
      </w:r>
    </w:p>
    <w:p w14:paraId="36F66E0C"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3、社会工作者考前培训</w:t>
      </w:r>
    </w:p>
    <w:p w14:paraId="26E89E99"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由市民政局与乙方培训机构签订培训合同，由乙方提供社区社会工作者职业水平考试（包括初级水平考试和中级水平考试）考前培训，培训科目包括：社会工作者综合能力（初级）、社会工作实务（初级）、社会工作综合能力（中级）、社会工作实务（中级）和社会工作政策与法规（中级）。</w:t>
      </w:r>
    </w:p>
    <w:p w14:paraId="45191E10" w14:textId="77777777" w:rsidR="00600660" w:rsidRPr="00823BAD" w:rsidRDefault="00600660" w:rsidP="00600660">
      <w:pPr>
        <w:spacing w:line="580" w:lineRule="exact"/>
        <w:ind w:firstLineChars="200" w:firstLine="640"/>
        <w:rPr>
          <w:rFonts w:ascii="仿宋_GB2312" w:eastAsia="仿宋_GB2312"/>
          <w:b/>
          <w:bCs/>
          <w:sz w:val="32"/>
          <w:szCs w:val="32"/>
        </w:rPr>
      </w:pPr>
      <w:r w:rsidRPr="00823BAD">
        <w:rPr>
          <w:rFonts w:ascii="仿宋_GB2312" w:eastAsia="仿宋_GB2312" w:hint="eastAsia"/>
          <w:b/>
          <w:bCs/>
          <w:sz w:val="32"/>
          <w:szCs w:val="32"/>
        </w:rPr>
        <w:t>（三）项目目标</w:t>
      </w:r>
    </w:p>
    <w:p w14:paraId="6FA3146A"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购买救助物资发放给困难群体，弘扬社会主义精神文明，大力宣传福彩公益金发行宗旨，体现党和政府对弱势群体的关爱。逐步将社区工作者转化为社会工作人才，提升社区居民幸福感及参与社区自治的主动性，积极有效推进“三社联动”项目建设。根据项目单位的绩效目标表，可量化的绩效指标如下：</w:t>
      </w:r>
    </w:p>
    <w:p w14:paraId="5E532715"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1、采购救助物资，并通过各县区交付给困难群众。项目单位介绍由市民政局采购米面油等救助物资通过全市9个县区民政局分发给困难群众。对采购数量未制定具体的采购计划，物资发放县区覆盖率100%。居民满意率2020年目标值是0，2021年是80%，2022年是95%。</w:t>
      </w:r>
    </w:p>
    <w:p w14:paraId="370F4525"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2、社工站建设，根据实际需求建立社会服务中心。2020</w:t>
      </w:r>
      <w:r w:rsidRPr="00823BAD">
        <w:rPr>
          <w:rFonts w:ascii="仿宋_GB2312" w:eastAsia="仿宋_GB2312" w:hint="eastAsia"/>
          <w:sz w:val="32"/>
          <w:szCs w:val="32"/>
        </w:rPr>
        <w:lastRenderedPageBreak/>
        <w:t>年和2021年的计划分别建立三个社会服务中心。2022年未明确具体数量。委托第三方对社会工作服务中心的建设情况进行评估，并出具评估报告。居民满意率2020年目标值是0，2021年是80%，2022年是95%。</w:t>
      </w:r>
    </w:p>
    <w:p w14:paraId="5FDC6139"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3、开展社会工作者考前培训，将社会工作者转化为社会工作人才。2022年计划参训人数不少于350人，2020年和2021年未制定具体数量指标。参训人员满意率2020年目标值是0，2021年是80%，2022年是95%。</w:t>
      </w:r>
    </w:p>
    <w:p w14:paraId="248ABE2C" w14:textId="77777777" w:rsidR="00600660" w:rsidRPr="00823BAD" w:rsidRDefault="00600660" w:rsidP="00600660">
      <w:pPr>
        <w:spacing w:line="580" w:lineRule="exact"/>
        <w:ind w:firstLineChars="200" w:firstLine="640"/>
        <w:rPr>
          <w:rFonts w:ascii="仿宋_GB2312" w:eastAsia="仿宋_GB2312"/>
          <w:b/>
          <w:bCs/>
          <w:sz w:val="32"/>
          <w:szCs w:val="32"/>
        </w:rPr>
      </w:pPr>
      <w:r w:rsidRPr="00823BAD">
        <w:rPr>
          <w:rFonts w:ascii="仿宋_GB2312" w:eastAsia="仿宋_GB2312" w:hint="eastAsia"/>
          <w:b/>
          <w:bCs/>
          <w:sz w:val="32"/>
          <w:szCs w:val="32"/>
        </w:rPr>
        <w:t>（四）资金投入和使用情况</w:t>
      </w:r>
    </w:p>
    <w:p w14:paraId="79AE5820" w14:textId="77777777" w:rsidR="00600660" w:rsidRPr="00823BAD" w:rsidRDefault="00600660" w:rsidP="00600660">
      <w:pPr>
        <w:spacing w:line="580" w:lineRule="exact"/>
        <w:ind w:firstLine="562"/>
        <w:rPr>
          <w:rFonts w:ascii="仿宋_GB2312" w:eastAsia="仿宋_GB2312"/>
          <w:sz w:val="32"/>
          <w:szCs w:val="32"/>
        </w:rPr>
      </w:pPr>
      <w:r w:rsidRPr="00823BAD">
        <w:rPr>
          <w:rFonts w:ascii="仿宋_GB2312" w:eastAsia="仿宋_GB2312" w:hint="eastAsia"/>
          <w:sz w:val="32"/>
          <w:szCs w:val="32"/>
        </w:rPr>
        <w:t>1、各年资金预算情况</w:t>
      </w:r>
    </w:p>
    <w:p w14:paraId="3077C208" w14:textId="77777777" w:rsidR="00600660" w:rsidRPr="00823BAD" w:rsidRDefault="00600660" w:rsidP="00600660">
      <w:pPr>
        <w:widowControl/>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本项目资金来源是彩票公益金。2020年至2022年本项目资金预算5,340,000.00元，其中2020年初预算1,750,000.00元，后因疫情原因压缩至1,050,000.00元、2021年预算2,000,000.00元、2022年预算2,290,000.00元。</w:t>
      </w:r>
    </w:p>
    <w:p w14:paraId="7D5B70DD" w14:textId="77777777" w:rsidR="00600660" w:rsidRPr="00823BAD" w:rsidRDefault="00600660" w:rsidP="00600660">
      <w:pPr>
        <w:spacing w:line="580" w:lineRule="exact"/>
        <w:ind w:firstLine="562"/>
        <w:rPr>
          <w:rFonts w:ascii="仿宋_GB2312" w:eastAsia="仿宋_GB2312"/>
          <w:sz w:val="32"/>
          <w:szCs w:val="32"/>
        </w:rPr>
      </w:pPr>
      <w:r w:rsidRPr="00823BAD">
        <w:rPr>
          <w:rFonts w:ascii="仿宋_GB2312" w:eastAsia="仿宋_GB2312" w:hint="eastAsia"/>
          <w:sz w:val="32"/>
          <w:szCs w:val="32"/>
        </w:rPr>
        <w:t>2、资金使用情况</w:t>
      </w:r>
    </w:p>
    <w:p w14:paraId="3805C4D3"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本项目实际使用资金5,194,604.00元，其中2020年1,049,120.00元、2021年1,999,576.00元、2022年2,145,908.00元</w:t>
      </w:r>
      <w:r w:rsidRPr="00823BAD">
        <w:rPr>
          <w:rFonts w:ascii="仿宋_GB2312" w:eastAsia="仿宋_GB2312" w:hint="eastAsia"/>
          <w:bCs/>
          <w:sz w:val="32"/>
          <w:szCs w:val="32"/>
        </w:rPr>
        <w:t>。</w:t>
      </w:r>
      <w:r w:rsidRPr="00823BAD">
        <w:rPr>
          <w:rFonts w:ascii="仿宋_GB2312" w:eastAsia="仿宋_GB2312" w:hint="eastAsia"/>
          <w:sz w:val="32"/>
          <w:szCs w:val="32"/>
        </w:rPr>
        <w:t>截止现场评价日，各年支出情况如下：</w:t>
      </w:r>
    </w:p>
    <w:tbl>
      <w:tblPr>
        <w:tblW w:w="9562" w:type="dxa"/>
        <w:jc w:val="center"/>
        <w:tblLook w:val="0000" w:firstRow="0" w:lastRow="0" w:firstColumn="0" w:lastColumn="0" w:noHBand="0" w:noVBand="0"/>
      </w:tblPr>
      <w:tblGrid>
        <w:gridCol w:w="2928"/>
        <w:gridCol w:w="1656"/>
        <w:gridCol w:w="1656"/>
        <w:gridCol w:w="1656"/>
        <w:gridCol w:w="1666"/>
      </w:tblGrid>
      <w:tr w:rsidR="00600660" w14:paraId="4A727457" w14:textId="77777777" w:rsidTr="00A55EF1">
        <w:trPr>
          <w:trHeight w:val="285"/>
          <w:jc w:val="center"/>
        </w:trPr>
        <w:tc>
          <w:tcPr>
            <w:tcW w:w="2928" w:type="dxa"/>
            <w:tcBorders>
              <w:top w:val="single" w:sz="8" w:space="0" w:color="auto"/>
              <w:left w:val="single" w:sz="8" w:space="0" w:color="auto"/>
              <w:bottom w:val="single" w:sz="8" w:space="0" w:color="auto"/>
              <w:right w:val="single" w:sz="8" w:space="0" w:color="auto"/>
            </w:tcBorders>
            <w:noWrap/>
            <w:vAlign w:val="center"/>
          </w:tcPr>
          <w:p w14:paraId="505C93EA" w14:textId="77777777" w:rsidR="00600660" w:rsidRDefault="00600660" w:rsidP="00A55EF1">
            <w:pPr>
              <w:widowControl/>
              <w:spacing w:line="260" w:lineRule="exact"/>
              <w:jc w:val="center"/>
              <w:rPr>
                <w:rFonts w:ascii="仿宋_GB2312" w:eastAsia="仿宋_GB2312"/>
                <w:b/>
                <w:bCs/>
                <w:sz w:val="24"/>
              </w:rPr>
            </w:pPr>
            <w:r>
              <w:rPr>
                <w:rFonts w:ascii="仿宋_GB2312" w:eastAsia="仿宋_GB2312" w:hint="eastAsia"/>
                <w:b/>
                <w:bCs/>
                <w:sz w:val="24"/>
              </w:rPr>
              <w:t>实际支出（元）</w:t>
            </w:r>
          </w:p>
        </w:tc>
        <w:tc>
          <w:tcPr>
            <w:tcW w:w="1656" w:type="dxa"/>
            <w:tcBorders>
              <w:top w:val="single" w:sz="8" w:space="0" w:color="auto"/>
              <w:left w:val="nil"/>
              <w:bottom w:val="single" w:sz="8" w:space="0" w:color="auto"/>
              <w:right w:val="single" w:sz="8" w:space="0" w:color="auto"/>
            </w:tcBorders>
            <w:noWrap/>
            <w:vAlign w:val="center"/>
          </w:tcPr>
          <w:p w14:paraId="0AA359DE" w14:textId="77777777" w:rsidR="00600660" w:rsidRDefault="00600660" w:rsidP="00A55EF1">
            <w:pPr>
              <w:widowControl/>
              <w:spacing w:line="260" w:lineRule="exact"/>
              <w:jc w:val="center"/>
              <w:rPr>
                <w:rFonts w:ascii="仿宋_GB2312" w:eastAsia="仿宋_GB2312"/>
                <w:b/>
                <w:bCs/>
                <w:sz w:val="24"/>
              </w:rPr>
            </w:pPr>
            <w:r>
              <w:rPr>
                <w:rFonts w:ascii="仿宋_GB2312" w:eastAsia="仿宋_GB2312" w:hint="eastAsia"/>
                <w:b/>
                <w:bCs/>
                <w:sz w:val="24"/>
              </w:rPr>
              <w:t>2020年</w:t>
            </w:r>
          </w:p>
        </w:tc>
        <w:tc>
          <w:tcPr>
            <w:tcW w:w="1656" w:type="dxa"/>
            <w:tcBorders>
              <w:top w:val="single" w:sz="8" w:space="0" w:color="auto"/>
              <w:left w:val="nil"/>
              <w:bottom w:val="single" w:sz="8" w:space="0" w:color="auto"/>
              <w:right w:val="single" w:sz="8" w:space="0" w:color="auto"/>
            </w:tcBorders>
            <w:noWrap/>
            <w:vAlign w:val="center"/>
          </w:tcPr>
          <w:p w14:paraId="37BB55AB" w14:textId="77777777" w:rsidR="00600660" w:rsidRDefault="00600660" w:rsidP="00A55EF1">
            <w:pPr>
              <w:widowControl/>
              <w:spacing w:line="260" w:lineRule="exact"/>
              <w:jc w:val="center"/>
              <w:rPr>
                <w:rFonts w:ascii="仿宋_GB2312" w:eastAsia="仿宋_GB2312"/>
                <w:b/>
                <w:bCs/>
                <w:sz w:val="24"/>
              </w:rPr>
            </w:pPr>
            <w:r>
              <w:rPr>
                <w:rFonts w:ascii="仿宋_GB2312" w:eastAsia="仿宋_GB2312" w:hint="eastAsia"/>
                <w:b/>
                <w:bCs/>
                <w:sz w:val="24"/>
              </w:rPr>
              <w:t>2021年</w:t>
            </w:r>
          </w:p>
        </w:tc>
        <w:tc>
          <w:tcPr>
            <w:tcW w:w="1656" w:type="dxa"/>
            <w:tcBorders>
              <w:top w:val="single" w:sz="8" w:space="0" w:color="auto"/>
              <w:left w:val="nil"/>
              <w:bottom w:val="single" w:sz="8" w:space="0" w:color="auto"/>
              <w:right w:val="single" w:sz="8" w:space="0" w:color="auto"/>
            </w:tcBorders>
            <w:noWrap/>
            <w:vAlign w:val="center"/>
          </w:tcPr>
          <w:p w14:paraId="28D2478E" w14:textId="77777777" w:rsidR="00600660" w:rsidRDefault="00600660" w:rsidP="00A55EF1">
            <w:pPr>
              <w:widowControl/>
              <w:spacing w:line="260" w:lineRule="exact"/>
              <w:jc w:val="center"/>
              <w:rPr>
                <w:rFonts w:ascii="仿宋_GB2312" w:eastAsia="仿宋_GB2312"/>
                <w:b/>
                <w:bCs/>
                <w:sz w:val="24"/>
              </w:rPr>
            </w:pPr>
            <w:r>
              <w:rPr>
                <w:rFonts w:ascii="仿宋_GB2312" w:eastAsia="仿宋_GB2312" w:hint="eastAsia"/>
                <w:b/>
                <w:bCs/>
                <w:sz w:val="24"/>
              </w:rPr>
              <w:t>2022年</w:t>
            </w:r>
          </w:p>
        </w:tc>
        <w:tc>
          <w:tcPr>
            <w:tcW w:w="1666" w:type="dxa"/>
            <w:tcBorders>
              <w:top w:val="single" w:sz="8" w:space="0" w:color="auto"/>
              <w:left w:val="nil"/>
              <w:bottom w:val="single" w:sz="8" w:space="0" w:color="auto"/>
              <w:right w:val="single" w:sz="8" w:space="0" w:color="auto"/>
            </w:tcBorders>
            <w:noWrap/>
            <w:vAlign w:val="center"/>
          </w:tcPr>
          <w:p w14:paraId="260FE289" w14:textId="77777777" w:rsidR="00600660" w:rsidRDefault="00600660" w:rsidP="00A55EF1">
            <w:pPr>
              <w:widowControl/>
              <w:spacing w:line="260" w:lineRule="exact"/>
              <w:jc w:val="center"/>
              <w:rPr>
                <w:rFonts w:ascii="仿宋_GB2312" w:eastAsia="仿宋_GB2312"/>
                <w:b/>
                <w:bCs/>
                <w:sz w:val="24"/>
              </w:rPr>
            </w:pPr>
            <w:r>
              <w:rPr>
                <w:rFonts w:ascii="仿宋_GB2312" w:eastAsia="仿宋_GB2312" w:hint="eastAsia"/>
                <w:b/>
                <w:bCs/>
                <w:sz w:val="24"/>
              </w:rPr>
              <w:t>合计</w:t>
            </w:r>
          </w:p>
        </w:tc>
      </w:tr>
      <w:tr w:rsidR="00600660" w14:paraId="5A9F0B7F" w14:textId="77777777" w:rsidTr="00A55EF1">
        <w:trPr>
          <w:trHeight w:val="285"/>
          <w:jc w:val="center"/>
        </w:trPr>
        <w:tc>
          <w:tcPr>
            <w:tcW w:w="2928" w:type="dxa"/>
            <w:tcBorders>
              <w:top w:val="nil"/>
              <w:left w:val="single" w:sz="8" w:space="0" w:color="auto"/>
              <w:bottom w:val="single" w:sz="8" w:space="0" w:color="auto"/>
              <w:right w:val="single" w:sz="8" w:space="0" w:color="auto"/>
            </w:tcBorders>
            <w:noWrap/>
            <w:vAlign w:val="center"/>
          </w:tcPr>
          <w:p w14:paraId="23E60DE4" w14:textId="77777777" w:rsidR="00600660" w:rsidRDefault="00600660" w:rsidP="00A55EF1">
            <w:pPr>
              <w:widowControl/>
              <w:spacing w:line="260" w:lineRule="exact"/>
              <w:ind w:left="-13"/>
              <w:jc w:val="left"/>
              <w:rPr>
                <w:rFonts w:ascii="仿宋_GB2312" w:eastAsia="仿宋_GB2312"/>
                <w:sz w:val="24"/>
              </w:rPr>
            </w:pPr>
            <w:r>
              <w:rPr>
                <w:rFonts w:ascii="仿宋_GB2312" w:eastAsia="仿宋_GB2312" w:hint="eastAsia"/>
                <w:sz w:val="24"/>
              </w:rPr>
              <w:t>1.采购救助物资</w:t>
            </w:r>
          </w:p>
        </w:tc>
        <w:tc>
          <w:tcPr>
            <w:tcW w:w="1656" w:type="dxa"/>
            <w:tcBorders>
              <w:top w:val="nil"/>
              <w:left w:val="nil"/>
              <w:bottom w:val="single" w:sz="8" w:space="0" w:color="auto"/>
              <w:right w:val="single" w:sz="8" w:space="0" w:color="auto"/>
            </w:tcBorders>
            <w:noWrap/>
            <w:vAlign w:val="center"/>
          </w:tcPr>
          <w:p w14:paraId="4BAFA6F7"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611,820.00</w:t>
            </w:r>
          </w:p>
        </w:tc>
        <w:tc>
          <w:tcPr>
            <w:tcW w:w="1656" w:type="dxa"/>
            <w:tcBorders>
              <w:top w:val="nil"/>
              <w:left w:val="nil"/>
              <w:bottom w:val="single" w:sz="8" w:space="0" w:color="auto"/>
              <w:right w:val="single" w:sz="8" w:space="0" w:color="auto"/>
            </w:tcBorders>
            <w:noWrap/>
            <w:vAlign w:val="center"/>
          </w:tcPr>
          <w:p w14:paraId="2CA521FB"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1,451,961.00</w:t>
            </w:r>
          </w:p>
        </w:tc>
        <w:tc>
          <w:tcPr>
            <w:tcW w:w="1656" w:type="dxa"/>
            <w:tcBorders>
              <w:top w:val="nil"/>
              <w:left w:val="nil"/>
              <w:bottom w:val="single" w:sz="8" w:space="0" w:color="auto"/>
              <w:right w:val="single" w:sz="8" w:space="0" w:color="auto"/>
            </w:tcBorders>
            <w:noWrap/>
            <w:vAlign w:val="center"/>
          </w:tcPr>
          <w:p w14:paraId="56156243"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1,489,107.00</w:t>
            </w:r>
          </w:p>
        </w:tc>
        <w:tc>
          <w:tcPr>
            <w:tcW w:w="1666" w:type="dxa"/>
            <w:tcBorders>
              <w:top w:val="nil"/>
              <w:left w:val="nil"/>
              <w:bottom w:val="single" w:sz="8" w:space="0" w:color="auto"/>
              <w:right w:val="single" w:sz="8" w:space="0" w:color="auto"/>
            </w:tcBorders>
            <w:noWrap/>
            <w:vAlign w:val="center"/>
          </w:tcPr>
          <w:p w14:paraId="0D679A81"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3,552,888.00</w:t>
            </w:r>
          </w:p>
        </w:tc>
      </w:tr>
      <w:tr w:rsidR="00600660" w14:paraId="1BC97801" w14:textId="77777777" w:rsidTr="00A55EF1">
        <w:trPr>
          <w:trHeight w:val="100"/>
          <w:jc w:val="center"/>
        </w:trPr>
        <w:tc>
          <w:tcPr>
            <w:tcW w:w="2928" w:type="dxa"/>
            <w:tcBorders>
              <w:top w:val="nil"/>
              <w:left w:val="single" w:sz="8" w:space="0" w:color="auto"/>
              <w:bottom w:val="single" w:sz="8" w:space="0" w:color="auto"/>
              <w:right w:val="single" w:sz="8" w:space="0" w:color="auto"/>
            </w:tcBorders>
            <w:noWrap/>
            <w:vAlign w:val="center"/>
          </w:tcPr>
          <w:p w14:paraId="2288EFAA" w14:textId="77777777" w:rsidR="00600660" w:rsidRDefault="00600660" w:rsidP="00A55EF1">
            <w:pPr>
              <w:widowControl/>
              <w:spacing w:line="260" w:lineRule="exact"/>
              <w:ind w:left="-13"/>
              <w:jc w:val="left"/>
              <w:rPr>
                <w:rFonts w:ascii="仿宋_GB2312" w:eastAsia="仿宋_GB2312"/>
                <w:sz w:val="24"/>
              </w:rPr>
            </w:pPr>
            <w:r>
              <w:rPr>
                <w:rFonts w:ascii="仿宋_GB2312" w:eastAsia="仿宋_GB2312" w:hint="eastAsia"/>
                <w:sz w:val="24"/>
              </w:rPr>
              <w:t>2.社会服务工作服务中心项目小计</w:t>
            </w:r>
          </w:p>
        </w:tc>
        <w:tc>
          <w:tcPr>
            <w:tcW w:w="1656" w:type="dxa"/>
            <w:tcBorders>
              <w:top w:val="nil"/>
              <w:left w:val="nil"/>
              <w:bottom w:val="single" w:sz="8" w:space="0" w:color="auto"/>
              <w:right w:val="single" w:sz="8" w:space="0" w:color="auto"/>
            </w:tcBorders>
            <w:noWrap/>
            <w:vAlign w:val="center"/>
          </w:tcPr>
          <w:p w14:paraId="7A5F0F24"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397,500.00</w:t>
            </w:r>
          </w:p>
        </w:tc>
        <w:tc>
          <w:tcPr>
            <w:tcW w:w="1656" w:type="dxa"/>
            <w:tcBorders>
              <w:top w:val="nil"/>
              <w:left w:val="nil"/>
              <w:bottom w:val="single" w:sz="8" w:space="0" w:color="auto"/>
              <w:right w:val="single" w:sz="8" w:space="0" w:color="auto"/>
            </w:tcBorders>
            <w:noWrap/>
            <w:vAlign w:val="center"/>
          </w:tcPr>
          <w:p w14:paraId="2BD4D5BC"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500,000.00</w:t>
            </w:r>
          </w:p>
        </w:tc>
        <w:tc>
          <w:tcPr>
            <w:tcW w:w="1656" w:type="dxa"/>
            <w:tcBorders>
              <w:top w:val="nil"/>
              <w:left w:val="nil"/>
              <w:bottom w:val="single" w:sz="8" w:space="0" w:color="auto"/>
              <w:right w:val="single" w:sz="8" w:space="0" w:color="auto"/>
            </w:tcBorders>
            <w:noWrap/>
            <w:vAlign w:val="center"/>
          </w:tcPr>
          <w:p w14:paraId="1F18584D"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581,901.00</w:t>
            </w:r>
          </w:p>
        </w:tc>
        <w:tc>
          <w:tcPr>
            <w:tcW w:w="1666" w:type="dxa"/>
            <w:tcBorders>
              <w:top w:val="nil"/>
              <w:left w:val="nil"/>
              <w:bottom w:val="single" w:sz="8" w:space="0" w:color="auto"/>
              <w:right w:val="single" w:sz="8" w:space="0" w:color="auto"/>
            </w:tcBorders>
            <w:noWrap/>
            <w:vAlign w:val="center"/>
          </w:tcPr>
          <w:p w14:paraId="040054FF"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1,479,401.00</w:t>
            </w:r>
          </w:p>
        </w:tc>
      </w:tr>
      <w:tr w:rsidR="00600660" w14:paraId="53BA6D77" w14:textId="77777777" w:rsidTr="00A55EF1">
        <w:trPr>
          <w:trHeight w:val="285"/>
          <w:jc w:val="center"/>
        </w:trPr>
        <w:tc>
          <w:tcPr>
            <w:tcW w:w="2928" w:type="dxa"/>
            <w:tcBorders>
              <w:top w:val="nil"/>
              <w:left w:val="single" w:sz="8" w:space="0" w:color="auto"/>
              <w:bottom w:val="single" w:sz="8" w:space="0" w:color="auto"/>
              <w:right w:val="single" w:sz="8" w:space="0" w:color="auto"/>
            </w:tcBorders>
            <w:noWrap/>
            <w:vAlign w:val="center"/>
          </w:tcPr>
          <w:p w14:paraId="1B0D8F23" w14:textId="77777777" w:rsidR="00600660" w:rsidRDefault="00600660" w:rsidP="00A55EF1">
            <w:pPr>
              <w:widowControl/>
              <w:spacing w:line="260" w:lineRule="exact"/>
              <w:ind w:left="-13"/>
              <w:jc w:val="left"/>
              <w:rPr>
                <w:rFonts w:ascii="仿宋_GB2312" w:eastAsia="仿宋_GB2312"/>
                <w:sz w:val="24"/>
              </w:rPr>
            </w:pPr>
            <w:r>
              <w:rPr>
                <w:rFonts w:ascii="仿宋_GB2312" w:eastAsia="仿宋_GB2312" w:hint="eastAsia"/>
                <w:sz w:val="24"/>
              </w:rPr>
              <w:t>2.1 社会服务工作服务中心建设项目</w:t>
            </w:r>
          </w:p>
        </w:tc>
        <w:tc>
          <w:tcPr>
            <w:tcW w:w="1656" w:type="dxa"/>
            <w:tcBorders>
              <w:top w:val="nil"/>
              <w:left w:val="nil"/>
              <w:bottom w:val="single" w:sz="8" w:space="0" w:color="auto"/>
              <w:right w:val="single" w:sz="8" w:space="0" w:color="auto"/>
            </w:tcBorders>
            <w:noWrap/>
            <w:vAlign w:val="center"/>
          </w:tcPr>
          <w:p w14:paraId="72390435"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338,000.00</w:t>
            </w:r>
          </w:p>
        </w:tc>
        <w:tc>
          <w:tcPr>
            <w:tcW w:w="1656" w:type="dxa"/>
            <w:tcBorders>
              <w:top w:val="nil"/>
              <w:left w:val="nil"/>
              <w:bottom w:val="single" w:sz="8" w:space="0" w:color="auto"/>
              <w:right w:val="single" w:sz="8" w:space="0" w:color="auto"/>
            </w:tcBorders>
            <w:noWrap/>
            <w:vAlign w:val="center"/>
          </w:tcPr>
          <w:p w14:paraId="106364EF"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425,000.00</w:t>
            </w:r>
          </w:p>
        </w:tc>
        <w:tc>
          <w:tcPr>
            <w:tcW w:w="1656" w:type="dxa"/>
            <w:tcBorders>
              <w:top w:val="nil"/>
              <w:left w:val="nil"/>
              <w:bottom w:val="single" w:sz="8" w:space="0" w:color="auto"/>
              <w:right w:val="single" w:sz="8" w:space="0" w:color="auto"/>
            </w:tcBorders>
            <w:noWrap/>
            <w:vAlign w:val="center"/>
          </w:tcPr>
          <w:p w14:paraId="5023EC15"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503,901.00</w:t>
            </w:r>
          </w:p>
        </w:tc>
        <w:tc>
          <w:tcPr>
            <w:tcW w:w="1666" w:type="dxa"/>
            <w:tcBorders>
              <w:top w:val="nil"/>
              <w:left w:val="nil"/>
              <w:bottom w:val="single" w:sz="8" w:space="0" w:color="auto"/>
              <w:right w:val="single" w:sz="8" w:space="0" w:color="auto"/>
            </w:tcBorders>
            <w:noWrap/>
            <w:vAlign w:val="center"/>
          </w:tcPr>
          <w:p w14:paraId="0D24B182"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1,266,901.00</w:t>
            </w:r>
          </w:p>
        </w:tc>
      </w:tr>
      <w:tr w:rsidR="00600660" w14:paraId="38A8BF7A" w14:textId="77777777" w:rsidTr="00A55EF1">
        <w:trPr>
          <w:trHeight w:val="285"/>
          <w:jc w:val="center"/>
        </w:trPr>
        <w:tc>
          <w:tcPr>
            <w:tcW w:w="2928" w:type="dxa"/>
            <w:tcBorders>
              <w:top w:val="nil"/>
              <w:left w:val="single" w:sz="8" w:space="0" w:color="auto"/>
              <w:bottom w:val="single" w:sz="8" w:space="0" w:color="auto"/>
              <w:right w:val="single" w:sz="8" w:space="0" w:color="auto"/>
            </w:tcBorders>
            <w:noWrap/>
            <w:vAlign w:val="center"/>
          </w:tcPr>
          <w:p w14:paraId="320652A3" w14:textId="77777777" w:rsidR="00600660" w:rsidRDefault="00600660" w:rsidP="00A55EF1">
            <w:pPr>
              <w:widowControl/>
              <w:spacing w:line="260" w:lineRule="exact"/>
              <w:ind w:left="-13"/>
              <w:jc w:val="left"/>
              <w:rPr>
                <w:rFonts w:ascii="仿宋_GB2312" w:eastAsia="仿宋_GB2312"/>
                <w:sz w:val="24"/>
              </w:rPr>
            </w:pPr>
            <w:r>
              <w:rPr>
                <w:rFonts w:ascii="仿宋_GB2312" w:eastAsia="仿宋_GB2312" w:hint="eastAsia"/>
                <w:sz w:val="24"/>
              </w:rPr>
              <w:t>2.2 社会服务工作服务中心评估项目</w:t>
            </w:r>
          </w:p>
        </w:tc>
        <w:tc>
          <w:tcPr>
            <w:tcW w:w="1656" w:type="dxa"/>
            <w:tcBorders>
              <w:top w:val="nil"/>
              <w:left w:val="nil"/>
              <w:bottom w:val="single" w:sz="8" w:space="0" w:color="auto"/>
              <w:right w:val="single" w:sz="8" w:space="0" w:color="auto"/>
            </w:tcBorders>
            <w:noWrap/>
            <w:vAlign w:val="center"/>
          </w:tcPr>
          <w:p w14:paraId="379CF9FA"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59,500.00</w:t>
            </w:r>
          </w:p>
        </w:tc>
        <w:tc>
          <w:tcPr>
            <w:tcW w:w="1656" w:type="dxa"/>
            <w:tcBorders>
              <w:top w:val="nil"/>
              <w:left w:val="nil"/>
              <w:bottom w:val="single" w:sz="8" w:space="0" w:color="auto"/>
              <w:right w:val="single" w:sz="8" w:space="0" w:color="auto"/>
            </w:tcBorders>
            <w:noWrap/>
            <w:vAlign w:val="center"/>
          </w:tcPr>
          <w:p w14:paraId="1C2EBF98"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75,000.00</w:t>
            </w:r>
          </w:p>
        </w:tc>
        <w:tc>
          <w:tcPr>
            <w:tcW w:w="1656" w:type="dxa"/>
            <w:tcBorders>
              <w:top w:val="nil"/>
              <w:left w:val="nil"/>
              <w:bottom w:val="single" w:sz="8" w:space="0" w:color="auto"/>
              <w:right w:val="single" w:sz="8" w:space="0" w:color="auto"/>
            </w:tcBorders>
            <w:noWrap/>
            <w:vAlign w:val="center"/>
          </w:tcPr>
          <w:p w14:paraId="4878E08B"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78,000.00</w:t>
            </w:r>
          </w:p>
        </w:tc>
        <w:tc>
          <w:tcPr>
            <w:tcW w:w="1666" w:type="dxa"/>
            <w:tcBorders>
              <w:top w:val="nil"/>
              <w:left w:val="nil"/>
              <w:bottom w:val="single" w:sz="8" w:space="0" w:color="auto"/>
              <w:right w:val="single" w:sz="8" w:space="0" w:color="auto"/>
            </w:tcBorders>
            <w:noWrap/>
            <w:vAlign w:val="center"/>
          </w:tcPr>
          <w:p w14:paraId="604B026B"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212,500.00</w:t>
            </w:r>
          </w:p>
        </w:tc>
      </w:tr>
      <w:tr w:rsidR="00600660" w14:paraId="3BC87DB0" w14:textId="77777777" w:rsidTr="00A55EF1">
        <w:trPr>
          <w:trHeight w:val="285"/>
          <w:jc w:val="center"/>
        </w:trPr>
        <w:tc>
          <w:tcPr>
            <w:tcW w:w="2928" w:type="dxa"/>
            <w:tcBorders>
              <w:top w:val="nil"/>
              <w:left w:val="single" w:sz="8" w:space="0" w:color="auto"/>
              <w:bottom w:val="single" w:sz="8" w:space="0" w:color="auto"/>
              <w:right w:val="single" w:sz="8" w:space="0" w:color="auto"/>
            </w:tcBorders>
            <w:noWrap/>
            <w:vAlign w:val="center"/>
          </w:tcPr>
          <w:p w14:paraId="3CC687C8" w14:textId="77777777" w:rsidR="00600660" w:rsidRDefault="00600660" w:rsidP="00A55EF1">
            <w:pPr>
              <w:widowControl/>
              <w:spacing w:line="260" w:lineRule="exact"/>
              <w:ind w:left="-13"/>
              <w:jc w:val="left"/>
              <w:rPr>
                <w:rFonts w:ascii="仿宋_GB2312" w:eastAsia="仿宋_GB2312"/>
                <w:sz w:val="24"/>
              </w:rPr>
            </w:pPr>
            <w:r>
              <w:rPr>
                <w:rFonts w:ascii="仿宋_GB2312" w:eastAsia="仿宋_GB2312" w:hint="eastAsia"/>
                <w:sz w:val="24"/>
              </w:rPr>
              <w:t>3.社会工作者考前培训费</w:t>
            </w:r>
          </w:p>
        </w:tc>
        <w:tc>
          <w:tcPr>
            <w:tcW w:w="1656" w:type="dxa"/>
            <w:tcBorders>
              <w:top w:val="nil"/>
              <w:left w:val="nil"/>
              <w:bottom w:val="single" w:sz="8" w:space="0" w:color="auto"/>
              <w:right w:val="single" w:sz="8" w:space="0" w:color="auto"/>
            </w:tcBorders>
            <w:noWrap/>
            <w:vAlign w:val="center"/>
          </w:tcPr>
          <w:p w14:paraId="2753E30B"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39,800.00</w:t>
            </w:r>
          </w:p>
        </w:tc>
        <w:tc>
          <w:tcPr>
            <w:tcW w:w="1656" w:type="dxa"/>
            <w:tcBorders>
              <w:top w:val="nil"/>
              <w:left w:val="nil"/>
              <w:bottom w:val="single" w:sz="8" w:space="0" w:color="auto"/>
              <w:right w:val="single" w:sz="8" w:space="0" w:color="auto"/>
            </w:tcBorders>
            <w:noWrap/>
            <w:vAlign w:val="center"/>
          </w:tcPr>
          <w:p w14:paraId="5839D93D"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47,615.00</w:t>
            </w:r>
          </w:p>
        </w:tc>
        <w:tc>
          <w:tcPr>
            <w:tcW w:w="1656" w:type="dxa"/>
            <w:tcBorders>
              <w:top w:val="nil"/>
              <w:left w:val="nil"/>
              <w:bottom w:val="single" w:sz="8" w:space="0" w:color="auto"/>
              <w:right w:val="single" w:sz="8" w:space="0" w:color="auto"/>
            </w:tcBorders>
            <w:noWrap/>
            <w:vAlign w:val="center"/>
          </w:tcPr>
          <w:p w14:paraId="3E4FD480"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74,900.00</w:t>
            </w:r>
          </w:p>
        </w:tc>
        <w:tc>
          <w:tcPr>
            <w:tcW w:w="1666" w:type="dxa"/>
            <w:tcBorders>
              <w:top w:val="nil"/>
              <w:left w:val="nil"/>
              <w:bottom w:val="single" w:sz="8" w:space="0" w:color="auto"/>
              <w:right w:val="single" w:sz="8" w:space="0" w:color="auto"/>
            </w:tcBorders>
            <w:noWrap/>
            <w:vAlign w:val="center"/>
          </w:tcPr>
          <w:p w14:paraId="1797F617"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162,315.00</w:t>
            </w:r>
          </w:p>
        </w:tc>
      </w:tr>
      <w:tr w:rsidR="00600660" w14:paraId="3DFAE3AE" w14:textId="77777777" w:rsidTr="00A55EF1">
        <w:trPr>
          <w:trHeight w:val="285"/>
          <w:jc w:val="center"/>
        </w:trPr>
        <w:tc>
          <w:tcPr>
            <w:tcW w:w="2928" w:type="dxa"/>
            <w:tcBorders>
              <w:top w:val="nil"/>
              <w:left w:val="single" w:sz="8" w:space="0" w:color="auto"/>
              <w:bottom w:val="single" w:sz="8" w:space="0" w:color="auto"/>
              <w:right w:val="single" w:sz="8" w:space="0" w:color="auto"/>
            </w:tcBorders>
            <w:noWrap/>
            <w:vAlign w:val="center"/>
          </w:tcPr>
          <w:p w14:paraId="158A9EA9" w14:textId="77777777" w:rsidR="00600660" w:rsidRDefault="00600660" w:rsidP="00A55EF1">
            <w:pPr>
              <w:widowControl/>
              <w:spacing w:line="260" w:lineRule="exact"/>
              <w:jc w:val="center"/>
              <w:rPr>
                <w:rFonts w:ascii="仿宋_GB2312" w:eastAsia="仿宋_GB2312"/>
                <w:sz w:val="24"/>
              </w:rPr>
            </w:pPr>
            <w:r>
              <w:rPr>
                <w:rFonts w:ascii="仿宋_GB2312" w:eastAsia="仿宋_GB2312" w:hint="eastAsia"/>
                <w:sz w:val="24"/>
              </w:rPr>
              <w:t>支出合计</w:t>
            </w:r>
          </w:p>
        </w:tc>
        <w:tc>
          <w:tcPr>
            <w:tcW w:w="1656" w:type="dxa"/>
            <w:tcBorders>
              <w:top w:val="nil"/>
              <w:left w:val="nil"/>
              <w:bottom w:val="single" w:sz="8" w:space="0" w:color="auto"/>
              <w:right w:val="single" w:sz="8" w:space="0" w:color="auto"/>
            </w:tcBorders>
            <w:noWrap/>
            <w:vAlign w:val="center"/>
          </w:tcPr>
          <w:p w14:paraId="01F56515"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1,049,120.00</w:t>
            </w:r>
          </w:p>
        </w:tc>
        <w:tc>
          <w:tcPr>
            <w:tcW w:w="1656" w:type="dxa"/>
            <w:tcBorders>
              <w:top w:val="nil"/>
              <w:left w:val="nil"/>
              <w:bottom w:val="single" w:sz="8" w:space="0" w:color="auto"/>
              <w:right w:val="single" w:sz="8" w:space="0" w:color="auto"/>
            </w:tcBorders>
            <w:noWrap/>
            <w:vAlign w:val="center"/>
          </w:tcPr>
          <w:p w14:paraId="3E338622"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1,999,576.00</w:t>
            </w:r>
          </w:p>
        </w:tc>
        <w:tc>
          <w:tcPr>
            <w:tcW w:w="1656" w:type="dxa"/>
            <w:tcBorders>
              <w:top w:val="nil"/>
              <w:left w:val="nil"/>
              <w:bottom w:val="single" w:sz="8" w:space="0" w:color="auto"/>
              <w:right w:val="single" w:sz="8" w:space="0" w:color="auto"/>
            </w:tcBorders>
            <w:noWrap/>
            <w:vAlign w:val="center"/>
          </w:tcPr>
          <w:p w14:paraId="59ADA656"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2,145,908.00</w:t>
            </w:r>
          </w:p>
        </w:tc>
        <w:tc>
          <w:tcPr>
            <w:tcW w:w="1666" w:type="dxa"/>
            <w:tcBorders>
              <w:top w:val="nil"/>
              <w:left w:val="nil"/>
              <w:bottom w:val="single" w:sz="8" w:space="0" w:color="auto"/>
              <w:right w:val="single" w:sz="8" w:space="0" w:color="auto"/>
            </w:tcBorders>
            <w:noWrap/>
            <w:vAlign w:val="center"/>
          </w:tcPr>
          <w:p w14:paraId="75D315DE" w14:textId="77777777" w:rsidR="00600660" w:rsidRDefault="00600660" w:rsidP="00A55EF1">
            <w:pPr>
              <w:widowControl/>
              <w:spacing w:line="260" w:lineRule="exact"/>
              <w:jc w:val="right"/>
              <w:rPr>
                <w:rFonts w:ascii="仿宋_GB2312" w:eastAsia="仿宋_GB2312"/>
                <w:sz w:val="24"/>
              </w:rPr>
            </w:pPr>
            <w:r>
              <w:rPr>
                <w:rFonts w:ascii="仿宋_GB2312" w:eastAsia="仿宋_GB2312" w:hint="eastAsia"/>
                <w:sz w:val="24"/>
              </w:rPr>
              <w:t>5,194,604.00</w:t>
            </w:r>
          </w:p>
        </w:tc>
      </w:tr>
    </w:tbl>
    <w:p w14:paraId="5CFD51C4" w14:textId="77777777" w:rsidR="00600660" w:rsidRPr="00823BAD" w:rsidRDefault="00600660" w:rsidP="00600660">
      <w:pPr>
        <w:spacing w:line="500" w:lineRule="exact"/>
        <w:ind w:firstLineChars="200" w:firstLine="640"/>
        <w:rPr>
          <w:rFonts w:ascii="仿宋_GB2312" w:eastAsia="仿宋_GB2312"/>
          <w:b/>
          <w:bCs/>
          <w:sz w:val="32"/>
          <w:szCs w:val="32"/>
        </w:rPr>
      </w:pPr>
      <w:r w:rsidRPr="00823BAD">
        <w:rPr>
          <w:rFonts w:ascii="仿宋_GB2312" w:eastAsia="仿宋_GB2312" w:hint="eastAsia"/>
          <w:b/>
          <w:bCs/>
          <w:sz w:val="32"/>
          <w:szCs w:val="32"/>
        </w:rPr>
        <w:lastRenderedPageBreak/>
        <w:t>（五）项目实施情况</w:t>
      </w:r>
    </w:p>
    <w:p w14:paraId="7D36B7F2" w14:textId="77777777" w:rsidR="00600660" w:rsidRPr="00823BAD" w:rsidRDefault="00600660" w:rsidP="00600660">
      <w:pPr>
        <w:spacing w:line="500" w:lineRule="exact"/>
        <w:ind w:firstLine="562"/>
        <w:rPr>
          <w:rFonts w:ascii="仿宋_GB2312" w:eastAsia="仿宋_GB2312"/>
          <w:sz w:val="32"/>
          <w:szCs w:val="32"/>
        </w:rPr>
      </w:pPr>
      <w:r w:rsidRPr="00823BAD">
        <w:rPr>
          <w:rFonts w:ascii="仿宋_GB2312" w:eastAsia="仿宋_GB2312" w:hint="eastAsia"/>
          <w:sz w:val="32"/>
          <w:szCs w:val="32"/>
        </w:rPr>
        <w:t>1、采购救助物资项目</w:t>
      </w:r>
    </w:p>
    <w:p w14:paraId="373BC6C3" w14:textId="77777777" w:rsidR="00600660" w:rsidRDefault="00600660" w:rsidP="00600660">
      <w:pPr>
        <w:spacing w:line="500" w:lineRule="exact"/>
        <w:ind w:firstLine="562"/>
        <w:rPr>
          <w:rFonts w:ascii="仿宋_GB2312" w:eastAsia="仿宋_GB2312"/>
          <w:sz w:val="32"/>
          <w:szCs w:val="32"/>
        </w:rPr>
      </w:pPr>
      <w:r w:rsidRPr="00823BAD">
        <w:rPr>
          <w:rFonts w:ascii="仿宋_GB2312" w:eastAsia="仿宋_GB2312" w:hint="eastAsia"/>
          <w:sz w:val="32"/>
          <w:szCs w:val="32"/>
        </w:rPr>
        <w:t>2020年至2022年通过政府采购方式采购救助物资共计17510套（每套含米10公斤、面10公斤、油5升），采购后交由各县区分发给困难群众，详见下表。采购金额合计355.29万元已全部支付。</w:t>
      </w:r>
    </w:p>
    <w:p w14:paraId="0B44E675" w14:textId="77777777" w:rsidR="00600660" w:rsidRDefault="00600660" w:rsidP="00600660">
      <w:pPr>
        <w:spacing w:line="500" w:lineRule="exact"/>
        <w:ind w:firstLine="562"/>
        <w:rPr>
          <w:rFonts w:ascii="仿宋_GB2312" w:eastAsia="仿宋_GB2312"/>
          <w:sz w:val="32"/>
          <w:szCs w:val="32"/>
        </w:rPr>
      </w:pPr>
    </w:p>
    <w:p w14:paraId="6D49D225" w14:textId="77777777" w:rsidR="00600660" w:rsidRPr="00823BAD" w:rsidRDefault="00600660" w:rsidP="00600660">
      <w:pPr>
        <w:spacing w:line="500" w:lineRule="exact"/>
        <w:ind w:firstLine="562"/>
        <w:rPr>
          <w:rFonts w:ascii="仿宋_GB2312" w:eastAsia="仿宋_GB2312"/>
          <w:sz w:val="32"/>
          <w:szCs w:val="32"/>
        </w:rPr>
      </w:pPr>
    </w:p>
    <w:tbl>
      <w:tblPr>
        <w:tblW w:w="8217" w:type="dxa"/>
        <w:jc w:val="center"/>
        <w:tblLook w:val="0000" w:firstRow="0" w:lastRow="0" w:firstColumn="0" w:lastColumn="0" w:noHBand="0" w:noVBand="0"/>
      </w:tblPr>
      <w:tblGrid>
        <w:gridCol w:w="2263"/>
        <w:gridCol w:w="1560"/>
        <w:gridCol w:w="1417"/>
        <w:gridCol w:w="1418"/>
        <w:gridCol w:w="1559"/>
      </w:tblGrid>
      <w:tr w:rsidR="00600660" w14:paraId="2C22881B" w14:textId="77777777" w:rsidTr="00A55EF1">
        <w:trPr>
          <w:trHeight w:val="120"/>
          <w:jc w:val="center"/>
        </w:trPr>
        <w:tc>
          <w:tcPr>
            <w:tcW w:w="8217" w:type="dxa"/>
            <w:gridSpan w:val="5"/>
            <w:tcBorders>
              <w:top w:val="nil"/>
              <w:left w:val="nil"/>
              <w:bottom w:val="single" w:sz="4" w:space="0" w:color="auto"/>
              <w:right w:val="nil"/>
            </w:tcBorders>
            <w:noWrap/>
            <w:vAlign w:val="center"/>
          </w:tcPr>
          <w:p w14:paraId="440FC5C2" w14:textId="77777777" w:rsidR="00600660" w:rsidRDefault="00600660" w:rsidP="00A55EF1">
            <w:pPr>
              <w:widowControl/>
              <w:jc w:val="right"/>
              <w:rPr>
                <w:rFonts w:ascii="仿宋_GB2312" w:eastAsia="仿宋_GB2312"/>
                <w:szCs w:val="21"/>
              </w:rPr>
            </w:pPr>
            <w:r>
              <w:rPr>
                <w:rFonts w:ascii="仿宋_GB2312" w:eastAsia="仿宋_GB2312" w:hint="eastAsia"/>
                <w:szCs w:val="21"/>
              </w:rPr>
              <w:t>单位：套</w:t>
            </w:r>
          </w:p>
        </w:tc>
      </w:tr>
      <w:tr w:rsidR="00600660" w14:paraId="63C42B65" w14:textId="77777777" w:rsidTr="00A55EF1">
        <w:trPr>
          <w:trHeight w:val="270"/>
          <w:jc w:val="center"/>
        </w:trPr>
        <w:tc>
          <w:tcPr>
            <w:tcW w:w="2263" w:type="dxa"/>
            <w:tcBorders>
              <w:top w:val="single" w:sz="4" w:space="0" w:color="auto"/>
              <w:left w:val="single" w:sz="4" w:space="0" w:color="auto"/>
              <w:bottom w:val="single" w:sz="4" w:space="0" w:color="auto"/>
              <w:right w:val="single" w:sz="4" w:space="0" w:color="auto"/>
            </w:tcBorders>
            <w:noWrap/>
            <w:vAlign w:val="center"/>
          </w:tcPr>
          <w:p w14:paraId="43CC4B7A" w14:textId="77777777" w:rsidR="00600660" w:rsidRDefault="00600660" w:rsidP="00A55EF1">
            <w:pPr>
              <w:widowControl/>
              <w:jc w:val="center"/>
              <w:rPr>
                <w:rFonts w:ascii="仿宋_GB2312" w:eastAsia="仿宋_GB2312"/>
                <w:b/>
                <w:bCs/>
                <w:sz w:val="24"/>
              </w:rPr>
            </w:pPr>
            <w:r>
              <w:rPr>
                <w:rFonts w:ascii="仿宋_GB2312" w:eastAsia="仿宋_GB2312" w:hint="eastAsia"/>
                <w:b/>
                <w:bCs/>
                <w:sz w:val="24"/>
              </w:rPr>
              <w:t>区县</w:t>
            </w:r>
          </w:p>
        </w:tc>
        <w:tc>
          <w:tcPr>
            <w:tcW w:w="1560" w:type="dxa"/>
            <w:tcBorders>
              <w:top w:val="single" w:sz="4" w:space="0" w:color="auto"/>
              <w:left w:val="single" w:sz="4" w:space="0" w:color="auto"/>
              <w:bottom w:val="single" w:sz="4" w:space="0" w:color="auto"/>
              <w:right w:val="single" w:sz="4" w:space="0" w:color="auto"/>
            </w:tcBorders>
            <w:vAlign w:val="center"/>
          </w:tcPr>
          <w:p w14:paraId="0F784EBB" w14:textId="77777777" w:rsidR="00600660" w:rsidRDefault="00600660" w:rsidP="00A55EF1">
            <w:pPr>
              <w:widowControl/>
              <w:jc w:val="center"/>
              <w:rPr>
                <w:rFonts w:ascii="仿宋_GB2312" w:eastAsia="仿宋_GB2312"/>
                <w:b/>
                <w:bCs/>
                <w:sz w:val="24"/>
              </w:rPr>
            </w:pPr>
            <w:r>
              <w:rPr>
                <w:rFonts w:ascii="仿宋_GB2312" w:eastAsia="仿宋_GB2312" w:hint="eastAsia"/>
                <w:b/>
                <w:bCs/>
                <w:sz w:val="24"/>
              </w:rPr>
              <w:t>2020年</w:t>
            </w:r>
          </w:p>
        </w:tc>
        <w:tc>
          <w:tcPr>
            <w:tcW w:w="1417" w:type="dxa"/>
            <w:tcBorders>
              <w:top w:val="single" w:sz="4" w:space="0" w:color="auto"/>
              <w:left w:val="single" w:sz="4" w:space="0" w:color="auto"/>
              <w:bottom w:val="single" w:sz="4" w:space="0" w:color="auto"/>
              <w:right w:val="single" w:sz="4" w:space="0" w:color="auto"/>
            </w:tcBorders>
            <w:vAlign w:val="center"/>
          </w:tcPr>
          <w:p w14:paraId="15711362" w14:textId="77777777" w:rsidR="00600660" w:rsidRDefault="00600660" w:rsidP="00A55EF1">
            <w:pPr>
              <w:widowControl/>
              <w:jc w:val="left"/>
              <w:rPr>
                <w:rFonts w:ascii="仿宋_GB2312" w:eastAsia="仿宋_GB2312"/>
                <w:b/>
                <w:bCs/>
                <w:sz w:val="24"/>
              </w:rPr>
            </w:pPr>
            <w:r>
              <w:rPr>
                <w:rFonts w:ascii="仿宋_GB2312" w:eastAsia="仿宋_GB2312" w:hint="eastAsia"/>
                <w:b/>
                <w:bCs/>
                <w:sz w:val="24"/>
              </w:rPr>
              <w:t>2021年</w:t>
            </w:r>
          </w:p>
        </w:tc>
        <w:tc>
          <w:tcPr>
            <w:tcW w:w="1418" w:type="dxa"/>
            <w:tcBorders>
              <w:top w:val="single" w:sz="4" w:space="0" w:color="auto"/>
              <w:left w:val="single" w:sz="4" w:space="0" w:color="auto"/>
              <w:bottom w:val="single" w:sz="4" w:space="0" w:color="auto"/>
              <w:right w:val="single" w:sz="4" w:space="0" w:color="auto"/>
            </w:tcBorders>
            <w:noWrap/>
            <w:vAlign w:val="center"/>
          </w:tcPr>
          <w:p w14:paraId="2E0159F7" w14:textId="77777777" w:rsidR="00600660" w:rsidRDefault="00600660" w:rsidP="00A55EF1">
            <w:pPr>
              <w:widowControl/>
              <w:jc w:val="center"/>
              <w:rPr>
                <w:rFonts w:ascii="仿宋_GB2312" w:eastAsia="仿宋_GB2312"/>
                <w:b/>
                <w:bCs/>
                <w:sz w:val="24"/>
              </w:rPr>
            </w:pPr>
            <w:r>
              <w:rPr>
                <w:rFonts w:ascii="仿宋_GB2312" w:eastAsia="仿宋_GB2312" w:hint="eastAsia"/>
                <w:b/>
                <w:bCs/>
                <w:sz w:val="24"/>
              </w:rPr>
              <w:t>2022年</w:t>
            </w:r>
          </w:p>
        </w:tc>
        <w:tc>
          <w:tcPr>
            <w:tcW w:w="1559" w:type="dxa"/>
            <w:tcBorders>
              <w:top w:val="single" w:sz="4" w:space="0" w:color="auto"/>
              <w:left w:val="single" w:sz="4" w:space="0" w:color="auto"/>
              <w:bottom w:val="single" w:sz="4" w:space="0" w:color="auto"/>
              <w:right w:val="single" w:sz="4" w:space="0" w:color="auto"/>
            </w:tcBorders>
            <w:noWrap/>
            <w:vAlign w:val="center"/>
          </w:tcPr>
          <w:p w14:paraId="04E51786" w14:textId="77777777" w:rsidR="00600660" w:rsidRDefault="00600660" w:rsidP="00A55EF1">
            <w:pPr>
              <w:widowControl/>
              <w:jc w:val="center"/>
              <w:rPr>
                <w:rFonts w:ascii="仿宋_GB2312" w:eastAsia="仿宋_GB2312"/>
                <w:b/>
                <w:bCs/>
                <w:sz w:val="24"/>
              </w:rPr>
            </w:pPr>
            <w:r>
              <w:rPr>
                <w:rFonts w:ascii="仿宋_GB2312" w:eastAsia="仿宋_GB2312" w:hint="eastAsia"/>
                <w:b/>
                <w:bCs/>
                <w:sz w:val="24"/>
              </w:rPr>
              <w:t>合计</w:t>
            </w:r>
          </w:p>
        </w:tc>
      </w:tr>
      <w:tr w:rsidR="00600660" w14:paraId="5089D858" w14:textId="77777777" w:rsidTr="00A55EF1">
        <w:trPr>
          <w:trHeight w:val="270"/>
          <w:jc w:val="center"/>
        </w:trPr>
        <w:tc>
          <w:tcPr>
            <w:tcW w:w="2263" w:type="dxa"/>
            <w:tcBorders>
              <w:top w:val="single" w:sz="4" w:space="0" w:color="auto"/>
              <w:left w:val="single" w:sz="4" w:space="0" w:color="auto"/>
              <w:bottom w:val="single" w:sz="4" w:space="0" w:color="auto"/>
              <w:right w:val="single" w:sz="4" w:space="0" w:color="auto"/>
            </w:tcBorders>
            <w:noWrap/>
            <w:vAlign w:val="center"/>
          </w:tcPr>
          <w:p w14:paraId="77C1B8F9" w14:textId="77777777" w:rsidR="00600660" w:rsidRDefault="00600660" w:rsidP="00A55EF1">
            <w:pPr>
              <w:widowControl/>
              <w:jc w:val="center"/>
              <w:rPr>
                <w:rFonts w:ascii="仿宋_GB2312" w:eastAsia="仿宋_GB2312"/>
                <w:sz w:val="24"/>
              </w:rPr>
            </w:pPr>
            <w:r>
              <w:rPr>
                <w:rFonts w:ascii="仿宋_GB2312" w:eastAsia="仿宋_GB2312" w:hint="eastAsia"/>
                <w:sz w:val="24"/>
              </w:rPr>
              <w:t>海港区</w:t>
            </w:r>
          </w:p>
        </w:tc>
        <w:tc>
          <w:tcPr>
            <w:tcW w:w="1560" w:type="dxa"/>
            <w:tcBorders>
              <w:top w:val="single" w:sz="4" w:space="0" w:color="auto"/>
              <w:left w:val="nil"/>
              <w:bottom w:val="single" w:sz="4" w:space="0" w:color="auto"/>
              <w:right w:val="single" w:sz="4" w:space="0" w:color="auto"/>
            </w:tcBorders>
            <w:vAlign w:val="center"/>
          </w:tcPr>
          <w:p w14:paraId="5DE22F40" w14:textId="77777777" w:rsidR="00600660" w:rsidRDefault="00600660" w:rsidP="00A55EF1">
            <w:pPr>
              <w:widowControl/>
              <w:jc w:val="center"/>
              <w:rPr>
                <w:rFonts w:ascii="仿宋_GB2312" w:eastAsia="仿宋_GB2312"/>
                <w:sz w:val="24"/>
              </w:rPr>
            </w:pPr>
            <w:r>
              <w:rPr>
                <w:rFonts w:ascii="仿宋_GB2312" w:eastAsia="仿宋_GB2312" w:hint="eastAsia"/>
                <w:sz w:val="24"/>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493BA1C3" w14:textId="77777777" w:rsidR="00600660" w:rsidRDefault="00600660" w:rsidP="00A55EF1">
            <w:pPr>
              <w:widowControl/>
              <w:jc w:val="center"/>
              <w:rPr>
                <w:rFonts w:ascii="仿宋_GB2312" w:eastAsia="仿宋_GB2312"/>
                <w:sz w:val="24"/>
              </w:rPr>
            </w:pPr>
            <w:r>
              <w:rPr>
                <w:rFonts w:ascii="仿宋_GB2312" w:eastAsia="仿宋_GB2312" w:hint="eastAsia"/>
                <w:sz w:val="24"/>
              </w:rPr>
              <w:t>444</w:t>
            </w:r>
          </w:p>
        </w:tc>
        <w:tc>
          <w:tcPr>
            <w:tcW w:w="1418" w:type="dxa"/>
            <w:tcBorders>
              <w:top w:val="single" w:sz="4" w:space="0" w:color="auto"/>
              <w:left w:val="single" w:sz="4" w:space="0" w:color="auto"/>
              <w:bottom w:val="single" w:sz="4" w:space="0" w:color="auto"/>
              <w:right w:val="single" w:sz="4" w:space="0" w:color="auto"/>
            </w:tcBorders>
            <w:noWrap/>
            <w:vAlign w:val="center"/>
          </w:tcPr>
          <w:p w14:paraId="0FB984D1" w14:textId="77777777" w:rsidR="00600660" w:rsidRDefault="00600660" w:rsidP="00A55EF1">
            <w:pPr>
              <w:widowControl/>
              <w:jc w:val="center"/>
              <w:rPr>
                <w:rFonts w:ascii="仿宋_GB2312" w:eastAsia="仿宋_GB2312"/>
                <w:sz w:val="24"/>
              </w:rPr>
            </w:pPr>
            <w:r>
              <w:rPr>
                <w:rFonts w:ascii="仿宋_GB2312" w:eastAsia="仿宋_GB2312" w:hint="eastAsia"/>
                <w:sz w:val="24"/>
              </w:rPr>
              <w:t>416</w:t>
            </w:r>
          </w:p>
        </w:tc>
        <w:tc>
          <w:tcPr>
            <w:tcW w:w="1559" w:type="dxa"/>
            <w:tcBorders>
              <w:top w:val="single" w:sz="4" w:space="0" w:color="auto"/>
              <w:left w:val="nil"/>
              <w:bottom w:val="single" w:sz="4" w:space="0" w:color="auto"/>
              <w:right w:val="single" w:sz="4" w:space="0" w:color="auto"/>
            </w:tcBorders>
            <w:noWrap/>
            <w:vAlign w:val="center"/>
          </w:tcPr>
          <w:p w14:paraId="5B290AA2" w14:textId="77777777" w:rsidR="00600660" w:rsidRDefault="00600660" w:rsidP="00A55EF1">
            <w:pPr>
              <w:widowControl/>
              <w:jc w:val="center"/>
              <w:rPr>
                <w:rFonts w:ascii="仿宋_GB2312" w:eastAsia="仿宋_GB2312"/>
                <w:sz w:val="24"/>
              </w:rPr>
            </w:pPr>
            <w:r>
              <w:rPr>
                <w:rFonts w:ascii="仿宋_GB2312" w:eastAsia="仿宋_GB2312" w:hint="eastAsia"/>
                <w:sz w:val="24"/>
              </w:rPr>
              <w:t>1060</w:t>
            </w:r>
          </w:p>
        </w:tc>
      </w:tr>
      <w:tr w:rsidR="00600660" w14:paraId="0A1F3210" w14:textId="77777777" w:rsidTr="00A55EF1">
        <w:trPr>
          <w:trHeight w:val="270"/>
          <w:jc w:val="center"/>
        </w:trPr>
        <w:tc>
          <w:tcPr>
            <w:tcW w:w="2263" w:type="dxa"/>
            <w:tcBorders>
              <w:top w:val="nil"/>
              <w:left w:val="single" w:sz="4" w:space="0" w:color="auto"/>
              <w:bottom w:val="single" w:sz="4" w:space="0" w:color="auto"/>
              <w:right w:val="single" w:sz="4" w:space="0" w:color="auto"/>
            </w:tcBorders>
            <w:noWrap/>
            <w:vAlign w:val="center"/>
          </w:tcPr>
          <w:p w14:paraId="533D8C99" w14:textId="77777777" w:rsidR="00600660" w:rsidRDefault="00600660" w:rsidP="00A55EF1">
            <w:pPr>
              <w:widowControl/>
              <w:jc w:val="center"/>
              <w:rPr>
                <w:rFonts w:ascii="仿宋_GB2312" w:eastAsia="仿宋_GB2312"/>
                <w:sz w:val="24"/>
              </w:rPr>
            </w:pPr>
            <w:r>
              <w:rPr>
                <w:rFonts w:ascii="仿宋_GB2312" w:eastAsia="仿宋_GB2312" w:hint="eastAsia"/>
                <w:sz w:val="24"/>
              </w:rPr>
              <w:t>山海关区</w:t>
            </w:r>
          </w:p>
        </w:tc>
        <w:tc>
          <w:tcPr>
            <w:tcW w:w="1560" w:type="dxa"/>
            <w:tcBorders>
              <w:top w:val="single" w:sz="4" w:space="0" w:color="auto"/>
              <w:left w:val="nil"/>
              <w:bottom w:val="single" w:sz="4" w:space="0" w:color="auto"/>
              <w:right w:val="single" w:sz="4" w:space="0" w:color="auto"/>
            </w:tcBorders>
            <w:vAlign w:val="center"/>
          </w:tcPr>
          <w:p w14:paraId="7B47A13F" w14:textId="77777777" w:rsidR="00600660" w:rsidRDefault="00600660" w:rsidP="00A55EF1">
            <w:pPr>
              <w:widowControl/>
              <w:jc w:val="center"/>
              <w:rPr>
                <w:rFonts w:ascii="仿宋_GB2312" w:eastAsia="仿宋_GB2312"/>
                <w:sz w:val="24"/>
              </w:rPr>
            </w:pPr>
            <w:r>
              <w:rPr>
                <w:rFonts w:ascii="仿宋_GB2312" w:eastAsia="仿宋_GB2312" w:hint="eastAsia"/>
                <w:sz w:val="24"/>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601DBA9" w14:textId="77777777" w:rsidR="00600660" w:rsidRDefault="00600660" w:rsidP="00A55EF1">
            <w:pPr>
              <w:widowControl/>
              <w:jc w:val="center"/>
              <w:rPr>
                <w:rFonts w:ascii="仿宋_GB2312" w:eastAsia="仿宋_GB2312"/>
                <w:sz w:val="24"/>
              </w:rPr>
            </w:pPr>
            <w:r>
              <w:rPr>
                <w:rFonts w:ascii="仿宋_GB2312" w:eastAsia="仿宋_GB2312" w:hint="eastAsia"/>
                <w:sz w:val="24"/>
              </w:rPr>
              <w:t>76</w:t>
            </w:r>
          </w:p>
        </w:tc>
        <w:tc>
          <w:tcPr>
            <w:tcW w:w="1418" w:type="dxa"/>
            <w:tcBorders>
              <w:top w:val="nil"/>
              <w:left w:val="single" w:sz="4" w:space="0" w:color="auto"/>
              <w:bottom w:val="single" w:sz="4" w:space="0" w:color="auto"/>
              <w:right w:val="single" w:sz="4" w:space="0" w:color="auto"/>
            </w:tcBorders>
            <w:noWrap/>
            <w:vAlign w:val="center"/>
          </w:tcPr>
          <w:p w14:paraId="105499EB" w14:textId="77777777" w:rsidR="00600660" w:rsidRDefault="00600660" w:rsidP="00A55EF1">
            <w:pPr>
              <w:widowControl/>
              <w:jc w:val="center"/>
              <w:rPr>
                <w:rFonts w:ascii="仿宋_GB2312" w:eastAsia="仿宋_GB2312"/>
                <w:sz w:val="24"/>
              </w:rPr>
            </w:pPr>
            <w:r>
              <w:rPr>
                <w:rFonts w:ascii="仿宋_GB2312" w:eastAsia="仿宋_GB2312" w:hint="eastAsia"/>
                <w:sz w:val="24"/>
              </w:rPr>
              <w:t>77</w:t>
            </w:r>
          </w:p>
        </w:tc>
        <w:tc>
          <w:tcPr>
            <w:tcW w:w="1559" w:type="dxa"/>
            <w:tcBorders>
              <w:top w:val="nil"/>
              <w:left w:val="nil"/>
              <w:bottom w:val="single" w:sz="4" w:space="0" w:color="auto"/>
              <w:right w:val="single" w:sz="4" w:space="0" w:color="auto"/>
            </w:tcBorders>
            <w:noWrap/>
            <w:vAlign w:val="center"/>
          </w:tcPr>
          <w:p w14:paraId="18A196B4" w14:textId="77777777" w:rsidR="00600660" w:rsidRDefault="00600660" w:rsidP="00A55EF1">
            <w:pPr>
              <w:widowControl/>
              <w:jc w:val="center"/>
              <w:rPr>
                <w:rFonts w:ascii="仿宋_GB2312" w:eastAsia="仿宋_GB2312"/>
                <w:sz w:val="24"/>
              </w:rPr>
            </w:pPr>
            <w:r>
              <w:rPr>
                <w:rFonts w:ascii="仿宋_GB2312" w:eastAsia="仿宋_GB2312" w:hint="eastAsia"/>
                <w:sz w:val="24"/>
              </w:rPr>
              <w:t>183</w:t>
            </w:r>
          </w:p>
        </w:tc>
      </w:tr>
      <w:tr w:rsidR="00600660" w14:paraId="50D0A6C1" w14:textId="77777777" w:rsidTr="00A55EF1">
        <w:trPr>
          <w:trHeight w:val="270"/>
          <w:jc w:val="center"/>
        </w:trPr>
        <w:tc>
          <w:tcPr>
            <w:tcW w:w="2263" w:type="dxa"/>
            <w:tcBorders>
              <w:top w:val="nil"/>
              <w:left w:val="single" w:sz="4" w:space="0" w:color="auto"/>
              <w:bottom w:val="single" w:sz="4" w:space="0" w:color="auto"/>
              <w:right w:val="single" w:sz="4" w:space="0" w:color="auto"/>
            </w:tcBorders>
            <w:noWrap/>
            <w:vAlign w:val="center"/>
          </w:tcPr>
          <w:p w14:paraId="69D04BE7" w14:textId="77777777" w:rsidR="00600660" w:rsidRDefault="00600660" w:rsidP="00A55EF1">
            <w:pPr>
              <w:widowControl/>
              <w:jc w:val="center"/>
              <w:rPr>
                <w:rFonts w:ascii="仿宋_GB2312" w:eastAsia="仿宋_GB2312"/>
                <w:sz w:val="24"/>
              </w:rPr>
            </w:pPr>
            <w:r>
              <w:rPr>
                <w:rFonts w:ascii="仿宋_GB2312" w:eastAsia="仿宋_GB2312" w:hint="eastAsia"/>
                <w:sz w:val="24"/>
              </w:rPr>
              <w:t>北戴河区</w:t>
            </w:r>
          </w:p>
        </w:tc>
        <w:tc>
          <w:tcPr>
            <w:tcW w:w="1560" w:type="dxa"/>
            <w:tcBorders>
              <w:top w:val="single" w:sz="4" w:space="0" w:color="auto"/>
              <w:left w:val="nil"/>
              <w:bottom w:val="single" w:sz="4" w:space="0" w:color="auto"/>
              <w:right w:val="single" w:sz="4" w:space="0" w:color="auto"/>
            </w:tcBorders>
            <w:vAlign w:val="center"/>
          </w:tcPr>
          <w:p w14:paraId="76FCD0AE" w14:textId="77777777" w:rsidR="00600660" w:rsidRDefault="00600660" w:rsidP="00A55EF1">
            <w:pPr>
              <w:widowControl/>
              <w:jc w:val="center"/>
              <w:rPr>
                <w:rFonts w:ascii="仿宋_GB2312" w:eastAsia="仿宋_GB2312"/>
                <w:sz w:val="24"/>
              </w:rPr>
            </w:pPr>
            <w:r>
              <w:rPr>
                <w:rFonts w:ascii="仿宋_GB2312" w:eastAsia="仿宋_GB2312" w:hint="eastAsia"/>
                <w:sz w:val="24"/>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BDE9566" w14:textId="77777777" w:rsidR="00600660" w:rsidRDefault="00600660" w:rsidP="00A55EF1">
            <w:pPr>
              <w:widowControl/>
              <w:jc w:val="center"/>
              <w:rPr>
                <w:rFonts w:ascii="仿宋_GB2312" w:eastAsia="仿宋_GB2312"/>
                <w:sz w:val="24"/>
              </w:rPr>
            </w:pPr>
            <w:r>
              <w:rPr>
                <w:rFonts w:ascii="仿宋_GB2312" w:eastAsia="仿宋_GB2312" w:hint="eastAsia"/>
                <w:sz w:val="24"/>
              </w:rPr>
              <w:t>61</w:t>
            </w:r>
          </w:p>
        </w:tc>
        <w:tc>
          <w:tcPr>
            <w:tcW w:w="1418" w:type="dxa"/>
            <w:tcBorders>
              <w:top w:val="nil"/>
              <w:left w:val="single" w:sz="4" w:space="0" w:color="auto"/>
              <w:bottom w:val="single" w:sz="4" w:space="0" w:color="auto"/>
              <w:right w:val="single" w:sz="4" w:space="0" w:color="auto"/>
            </w:tcBorders>
            <w:noWrap/>
            <w:vAlign w:val="center"/>
          </w:tcPr>
          <w:p w14:paraId="0516635E" w14:textId="77777777" w:rsidR="00600660" w:rsidRDefault="00600660" w:rsidP="00A55EF1">
            <w:pPr>
              <w:widowControl/>
              <w:jc w:val="center"/>
              <w:rPr>
                <w:rFonts w:ascii="仿宋_GB2312" w:eastAsia="仿宋_GB2312"/>
                <w:sz w:val="24"/>
              </w:rPr>
            </w:pPr>
            <w:r>
              <w:rPr>
                <w:rFonts w:ascii="仿宋_GB2312" w:eastAsia="仿宋_GB2312" w:hint="eastAsia"/>
                <w:sz w:val="24"/>
              </w:rPr>
              <w:t>53</w:t>
            </w:r>
          </w:p>
        </w:tc>
        <w:tc>
          <w:tcPr>
            <w:tcW w:w="1559" w:type="dxa"/>
            <w:tcBorders>
              <w:top w:val="nil"/>
              <w:left w:val="nil"/>
              <w:bottom w:val="single" w:sz="4" w:space="0" w:color="auto"/>
              <w:right w:val="single" w:sz="4" w:space="0" w:color="auto"/>
            </w:tcBorders>
            <w:noWrap/>
            <w:vAlign w:val="center"/>
          </w:tcPr>
          <w:p w14:paraId="46EEC38C" w14:textId="77777777" w:rsidR="00600660" w:rsidRDefault="00600660" w:rsidP="00A55EF1">
            <w:pPr>
              <w:widowControl/>
              <w:jc w:val="center"/>
              <w:rPr>
                <w:rFonts w:ascii="仿宋_GB2312" w:eastAsia="仿宋_GB2312"/>
                <w:sz w:val="24"/>
              </w:rPr>
            </w:pPr>
            <w:r>
              <w:rPr>
                <w:rFonts w:ascii="仿宋_GB2312" w:eastAsia="仿宋_GB2312" w:hint="eastAsia"/>
                <w:sz w:val="24"/>
              </w:rPr>
              <w:t>144</w:t>
            </w:r>
          </w:p>
        </w:tc>
      </w:tr>
      <w:tr w:rsidR="00600660" w14:paraId="3BACC28D" w14:textId="77777777" w:rsidTr="00A55EF1">
        <w:trPr>
          <w:trHeight w:val="270"/>
          <w:jc w:val="center"/>
        </w:trPr>
        <w:tc>
          <w:tcPr>
            <w:tcW w:w="2263" w:type="dxa"/>
            <w:tcBorders>
              <w:top w:val="nil"/>
              <w:left w:val="single" w:sz="4" w:space="0" w:color="auto"/>
              <w:bottom w:val="single" w:sz="4" w:space="0" w:color="auto"/>
              <w:right w:val="single" w:sz="4" w:space="0" w:color="auto"/>
            </w:tcBorders>
            <w:noWrap/>
            <w:vAlign w:val="center"/>
          </w:tcPr>
          <w:p w14:paraId="6F9A0C3B" w14:textId="77777777" w:rsidR="00600660" w:rsidRDefault="00600660" w:rsidP="00A55EF1">
            <w:pPr>
              <w:widowControl/>
              <w:jc w:val="center"/>
              <w:rPr>
                <w:rFonts w:ascii="仿宋_GB2312" w:eastAsia="仿宋_GB2312"/>
                <w:sz w:val="24"/>
              </w:rPr>
            </w:pPr>
            <w:r>
              <w:rPr>
                <w:rFonts w:ascii="仿宋_GB2312" w:eastAsia="仿宋_GB2312" w:hint="eastAsia"/>
                <w:sz w:val="24"/>
              </w:rPr>
              <w:t>抚宁区</w:t>
            </w:r>
          </w:p>
        </w:tc>
        <w:tc>
          <w:tcPr>
            <w:tcW w:w="1560" w:type="dxa"/>
            <w:tcBorders>
              <w:top w:val="single" w:sz="4" w:space="0" w:color="auto"/>
              <w:left w:val="nil"/>
              <w:bottom w:val="single" w:sz="4" w:space="0" w:color="auto"/>
              <w:right w:val="single" w:sz="4" w:space="0" w:color="auto"/>
            </w:tcBorders>
            <w:vAlign w:val="center"/>
          </w:tcPr>
          <w:p w14:paraId="03D436A3" w14:textId="77777777" w:rsidR="00600660" w:rsidRDefault="00600660" w:rsidP="00A55EF1">
            <w:pPr>
              <w:widowControl/>
              <w:jc w:val="center"/>
              <w:rPr>
                <w:rFonts w:ascii="仿宋_GB2312" w:eastAsia="仿宋_GB2312"/>
                <w:sz w:val="24"/>
              </w:rPr>
            </w:pPr>
            <w:r>
              <w:rPr>
                <w:rFonts w:ascii="仿宋_GB2312" w:eastAsia="仿宋_GB2312" w:hint="eastAsia"/>
                <w:sz w:val="24"/>
              </w:rPr>
              <w:t>230</w:t>
            </w:r>
          </w:p>
        </w:tc>
        <w:tc>
          <w:tcPr>
            <w:tcW w:w="1417" w:type="dxa"/>
            <w:tcBorders>
              <w:top w:val="single" w:sz="4" w:space="0" w:color="auto"/>
              <w:left w:val="single" w:sz="4" w:space="0" w:color="auto"/>
              <w:bottom w:val="single" w:sz="4" w:space="0" w:color="auto"/>
              <w:right w:val="single" w:sz="4" w:space="0" w:color="auto"/>
            </w:tcBorders>
            <w:vAlign w:val="center"/>
          </w:tcPr>
          <w:p w14:paraId="7F40C0C9" w14:textId="77777777" w:rsidR="00600660" w:rsidRDefault="00600660" w:rsidP="00A55EF1">
            <w:pPr>
              <w:widowControl/>
              <w:jc w:val="center"/>
              <w:rPr>
                <w:rFonts w:ascii="仿宋_GB2312" w:eastAsia="仿宋_GB2312"/>
                <w:sz w:val="24"/>
              </w:rPr>
            </w:pPr>
            <w:r>
              <w:rPr>
                <w:rFonts w:ascii="仿宋_GB2312" w:eastAsia="仿宋_GB2312" w:hint="eastAsia"/>
                <w:sz w:val="24"/>
              </w:rPr>
              <w:t>477</w:t>
            </w:r>
          </w:p>
        </w:tc>
        <w:tc>
          <w:tcPr>
            <w:tcW w:w="1418" w:type="dxa"/>
            <w:tcBorders>
              <w:top w:val="nil"/>
              <w:left w:val="single" w:sz="4" w:space="0" w:color="auto"/>
              <w:bottom w:val="single" w:sz="4" w:space="0" w:color="auto"/>
              <w:right w:val="single" w:sz="4" w:space="0" w:color="auto"/>
            </w:tcBorders>
            <w:noWrap/>
            <w:vAlign w:val="center"/>
          </w:tcPr>
          <w:p w14:paraId="7230DA59" w14:textId="77777777" w:rsidR="00600660" w:rsidRDefault="00600660" w:rsidP="00A55EF1">
            <w:pPr>
              <w:widowControl/>
              <w:jc w:val="center"/>
              <w:rPr>
                <w:rFonts w:ascii="仿宋_GB2312" w:eastAsia="仿宋_GB2312"/>
                <w:sz w:val="24"/>
              </w:rPr>
            </w:pPr>
            <w:r>
              <w:rPr>
                <w:rFonts w:ascii="仿宋_GB2312" w:eastAsia="仿宋_GB2312" w:hint="eastAsia"/>
                <w:sz w:val="24"/>
              </w:rPr>
              <w:t>491</w:t>
            </w:r>
          </w:p>
        </w:tc>
        <w:tc>
          <w:tcPr>
            <w:tcW w:w="1559" w:type="dxa"/>
            <w:tcBorders>
              <w:top w:val="nil"/>
              <w:left w:val="nil"/>
              <w:bottom w:val="single" w:sz="4" w:space="0" w:color="auto"/>
              <w:right w:val="single" w:sz="4" w:space="0" w:color="auto"/>
            </w:tcBorders>
            <w:noWrap/>
            <w:vAlign w:val="center"/>
          </w:tcPr>
          <w:p w14:paraId="573587EF" w14:textId="77777777" w:rsidR="00600660" w:rsidRDefault="00600660" w:rsidP="00A55EF1">
            <w:pPr>
              <w:widowControl/>
              <w:jc w:val="center"/>
              <w:rPr>
                <w:rFonts w:ascii="仿宋_GB2312" w:eastAsia="仿宋_GB2312"/>
                <w:sz w:val="24"/>
              </w:rPr>
            </w:pPr>
            <w:r>
              <w:rPr>
                <w:rFonts w:ascii="仿宋_GB2312" w:eastAsia="仿宋_GB2312" w:hint="eastAsia"/>
                <w:sz w:val="24"/>
              </w:rPr>
              <w:t>1198</w:t>
            </w:r>
          </w:p>
        </w:tc>
      </w:tr>
      <w:tr w:rsidR="00600660" w14:paraId="61DA509D" w14:textId="77777777" w:rsidTr="00A55EF1">
        <w:trPr>
          <w:trHeight w:val="270"/>
          <w:jc w:val="center"/>
        </w:trPr>
        <w:tc>
          <w:tcPr>
            <w:tcW w:w="2263" w:type="dxa"/>
            <w:tcBorders>
              <w:top w:val="nil"/>
              <w:left w:val="single" w:sz="4" w:space="0" w:color="auto"/>
              <w:bottom w:val="single" w:sz="4" w:space="0" w:color="auto"/>
              <w:right w:val="single" w:sz="4" w:space="0" w:color="auto"/>
            </w:tcBorders>
            <w:noWrap/>
            <w:vAlign w:val="center"/>
          </w:tcPr>
          <w:p w14:paraId="6DB0762F" w14:textId="77777777" w:rsidR="00600660" w:rsidRDefault="00600660" w:rsidP="00A55EF1">
            <w:pPr>
              <w:widowControl/>
              <w:jc w:val="center"/>
              <w:rPr>
                <w:rFonts w:ascii="仿宋_GB2312" w:eastAsia="仿宋_GB2312"/>
                <w:sz w:val="24"/>
              </w:rPr>
            </w:pPr>
            <w:r>
              <w:rPr>
                <w:rFonts w:ascii="仿宋_GB2312" w:eastAsia="仿宋_GB2312" w:hint="eastAsia"/>
                <w:sz w:val="24"/>
              </w:rPr>
              <w:t>青龙县</w:t>
            </w:r>
          </w:p>
        </w:tc>
        <w:tc>
          <w:tcPr>
            <w:tcW w:w="1560" w:type="dxa"/>
            <w:tcBorders>
              <w:top w:val="single" w:sz="4" w:space="0" w:color="auto"/>
              <w:left w:val="nil"/>
              <w:bottom w:val="single" w:sz="4" w:space="0" w:color="auto"/>
              <w:right w:val="single" w:sz="4" w:space="0" w:color="auto"/>
            </w:tcBorders>
            <w:vAlign w:val="center"/>
          </w:tcPr>
          <w:p w14:paraId="25B2D68C" w14:textId="77777777" w:rsidR="00600660" w:rsidRDefault="00600660" w:rsidP="00A55EF1">
            <w:pPr>
              <w:widowControl/>
              <w:jc w:val="center"/>
              <w:rPr>
                <w:rFonts w:ascii="仿宋_GB2312" w:eastAsia="仿宋_GB2312"/>
                <w:sz w:val="24"/>
              </w:rPr>
            </w:pPr>
            <w:r>
              <w:rPr>
                <w:rFonts w:ascii="仿宋_GB2312" w:eastAsia="仿宋_GB2312" w:hint="eastAsia"/>
                <w:sz w:val="24"/>
              </w:rPr>
              <w:t>1400</w:t>
            </w:r>
          </w:p>
        </w:tc>
        <w:tc>
          <w:tcPr>
            <w:tcW w:w="1417" w:type="dxa"/>
            <w:tcBorders>
              <w:top w:val="single" w:sz="4" w:space="0" w:color="auto"/>
              <w:left w:val="single" w:sz="4" w:space="0" w:color="auto"/>
              <w:bottom w:val="single" w:sz="4" w:space="0" w:color="auto"/>
              <w:right w:val="single" w:sz="4" w:space="0" w:color="auto"/>
            </w:tcBorders>
            <w:vAlign w:val="center"/>
          </w:tcPr>
          <w:p w14:paraId="58DD7ADF" w14:textId="77777777" w:rsidR="00600660" w:rsidRDefault="00600660" w:rsidP="00A55EF1">
            <w:pPr>
              <w:widowControl/>
              <w:jc w:val="center"/>
              <w:rPr>
                <w:rFonts w:ascii="仿宋_GB2312" w:eastAsia="仿宋_GB2312"/>
                <w:sz w:val="24"/>
              </w:rPr>
            </w:pPr>
            <w:r>
              <w:rPr>
                <w:rFonts w:ascii="仿宋_GB2312" w:eastAsia="仿宋_GB2312" w:hint="eastAsia"/>
                <w:sz w:val="24"/>
              </w:rPr>
              <w:t>3348</w:t>
            </w:r>
          </w:p>
        </w:tc>
        <w:tc>
          <w:tcPr>
            <w:tcW w:w="1418" w:type="dxa"/>
            <w:tcBorders>
              <w:top w:val="nil"/>
              <w:left w:val="single" w:sz="4" w:space="0" w:color="auto"/>
              <w:bottom w:val="single" w:sz="4" w:space="0" w:color="auto"/>
              <w:right w:val="single" w:sz="4" w:space="0" w:color="auto"/>
            </w:tcBorders>
            <w:noWrap/>
            <w:vAlign w:val="center"/>
          </w:tcPr>
          <w:p w14:paraId="43BF97D3" w14:textId="77777777" w:rsidR="00600660" w:rsidRDefault="00600660" w:rsidP="00A55EF1">
            <w:pPr>
              <w:widowControl/>
              <w:jc w:val="center"/>
              <w:rPr>
                <w:rFonts w:ascii="仿宋_GB2312" w:eastAsia="仿宋_GB2312"/>
                <w:sz w:val="24"/>
              </w:rPr>
            </w:pPr>
            <w:r>
              <w:rPr>
                <w:rFonts w:ascii="仿宋_GB2312" w:eastAsia="仿宋_GB2312" w:hint="eastAsia"/>
                <w:sz w:val="24"/>
              </w:rPr>
              <w:t>3266</w:t>
            </w:r>
          </w:p>
        </w:tc>
        <w:tc>
          <w:tcPr>
            <w:tcW w:w="1559" w:type="dxa"/>
            <w:tcBorders>
              <w:top w:val="nil"/>
              <w:left w:val="nil"/>
              <w:bottom w:val="single" w:sz="4" w:space="0" w:color="auto"/>
              <w:right w:val="single" w:sz="4" w:space="0" w:color="auto"/>
            </w:tcBorders>
            <w:noWrap/>
            <w:vAlign w:val="center"/>
          </w:tcPr>
          <w:p w14:paraId="28305930" w14:textId="77777777" w:rsidR="00600660" w:rsidRDefault="00600660" w:rsidP="00A55EF1">
            <w:pPr>
              <w:widowControl/>
              <w:jc w:val="center"/>
              <w:rPr>
                <w:rFonts w:ascii="仿宋_GB2312" w:eastAsia="仿宋_GB2312"/>
                <w:sz w:val="24"/>
              </w:rPr>
            </w:pPr>
            <w:r>
              <w:rPr>
                <w:rFonts w:ascii="仿宋_GB2312" w:eastAsia="仿宋_GB2312" w:hint="eastAsia"/>
                <w:sz w:val="24"/>
              </w:rPr>
              <w:t>8014</w:t>
            </w:r>
          </w:p>
        </w:tc>
      </w:tr>
      <w:tr w:rsidR="00600660" w14:paraId="45523EE6" w14:textId="77777777" w:rsidTr="00A55EF1">
        <w:trPr>
          <w:trHeight w:val="270"/>
          <w:jc w:val="center"/>
        </w:trPr>
        <w:tc>
          <w:tcPr>
            <w:tcW w:w="2263" w:type="dxa"/>
            <w:tcBorders>
              <w:top w:val="nil"/>
              <w:left w:val="single" w:sz="4" w:space="0" w:color="auto"/>
              <w:bottom w:val="single" w:sz="4" w:space="0" w:color="auto"/>
              <w:right w:val="single" w:sz="4" w:space="0" w:color="auto"/>
            </w:tcBorders>
            <w:noWrap/>
            <w:vAlign w:val="center"/>
          </w:tcPr>
          <w:p w14:paraId="0F53907F" w14:textId="77777777" w:rsidR="00600660" w:rsidRDefault="00600660" w:rsidP="00A55EF1">
            <w:pPr>
              <w:widowControl/>
              <w:jc w:val="center"/>
              <w:rPr>
                <w:rFonts w:ascii="仿宋_GB2312" w:eastAsia="仿宋_GB2312"/>
                <w:sz w:val="24"/>
              </w:rPr>
            </w:pPr>
            <w:r>
              <w:rPr>
                <w:rFonts w:ascii="仿宋_GB2312" w:eastAsia="仿宋_GB2312" w:hint="eastAsia"/>
                <w:sz w:val="24"/>
              </w:rPr>
              <w:t>昌黎县</w:t>
            </w:r>
          </w:p>
        </w:tc>
        <w:tc>
          <w:tcPr>
            <w:tcW w:w="1560" w:type="dxa"/>
            <w:tcBorders>
              <w:top w:val="single" w:sz="4" w:space="0" w:color="auto"/>
              <w:left w:val="nil"/>
              <w:bottom w:val="single" w:sz="4" w:space="0" w:color="auto"/>
              <w:right w:val="single" w:sz="4" w:space="0" w:color="auto"/>
            </w:tcBorders>
            <w:vAlign w:val="center"/>
          </w:tcPr>
          <w:p w14:paraId="13DB1C79" w14:textId="77777777" w:rsidR="00600660" w:rsidRDefault="00600660" w:rsidP="00A55EF1">
            <w:pPr>
              <w:widowControl/>
              <w:jc w:val="center"/>
              <w:rPr>
                <w:rFonts w:ascii="仿宋_GB2312" w:eastAsia="仿宋_GB2312"/>
                <w:sz w:val="24"/>
              </w:rPr>
            </w:pPr>
            <w:r>
              <w:rPr>
                <w:rFonts w:ascii="仿宋_GB2312" w:eastAsia="仿宋_GB2312" w:hint="eastAsia"/>
                <w:sz w:val="24"/>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57E01A9C" w14:textId="77777777" w:rsidR="00600660" w:rsidRDefault="00600660" w:rsidP="00A55EF1">
            <w:pPr>
              <w:widowControl/>
              <w:jc w:val="center"/>
              <w:rPr>
                <w:rFonts w:ascii="仿宋_GB2312" w:eastAsia="仿宋_GB2312"/>
                <w:sz w:val="24"/>
              </w:rPr>
            </w:pPr>
            <w:r>
              <w:rPr>
                <w:rFonts w:ascii="仿宋_GB2312" w:eastAsia="仿宋_GB2312" w:hint="eastAsia"/>
                <w:sz w:val="24"/>
              </w:rPr>
              <w:t>1215</w:t>
            </w:r>
          </w:p>
        </w:tc>
        <w:tc>
          <w:tcPr>
            <w:tcW w:w="1418" w:type="dxa"/>
            <w:tcBorders>
              <w:top w:val="nil"/>
              <w:left w:val="single" w:sz="4" w:space="0" w:color="auto"/>
              <w:bottom w:val="single" w:sz="4" w:space="0" w:color="auto"/>
              <w:right w:val="single" w:sz="4" w:space="0" w:color="auto"/>
            </w:tcBorders>
            <w:noWrap/>
            <w:vAlign w:val="center"/>
          </w:tcPr>
          <w:p w14:paraId="4B69A58B" w14:textId="77777777" w:rsidR="00600660" w:rsidRDefault="00600660" w:rsidP="00A55EF1">
            <w:pPr>
              <w:widowControl/>
              <w:jc w:val="center"/>
              <w:rPr>
                <w:rFonts w:ascii="仿宋_GB2312" w:eastAsia="仿宋_GB2312"/>
                <w:sz w:val="24"/>
              </w:rPr>
            </w:pPr>
            <w:r>
              <w:rPr>
                <w:rFonts w:ascii="仿宋_GB2312" w:eastAsia="仿宋_GB2312" w:hint="eastAsia"/>
                <w:sz w:val="24"/>
              </w:rPr>
              <w:t>1231</w:t>
            </w:r>
          </w:p>
        </w:tc>
        <w:tc>
          <w:tcPr>
            <w:tcW w:w="1559" w:type="dxa"/>
            <w:tcBorders>
              <w:top w:val="nil"/>
              <w:left w:val="nil"/>
              <w:bottom w:val="single" w:sz="4" w:space="0" w:color="auto"/>
              <w:right w:val="single" w:sz="4" w:space="0" w:color="auto"/>
            </w:tcBorders>
            <w:noWrap/>
            <w:vAlign w:val="center"/>
          </w:tcPr>
          <w:p w14:paraId="2F009B4A" w14:textId="77777777" w:rsidR="00600660" w:rsidRDefault="00600660" w:rsidP="00A55EF1">
            <w:pPr>
              <w:widowControl/>
              <w:jc w:val="center"/>
              <w:rPr>
                <w:rFonts w:ascii="仿宋_GB2312" w:eastAsia="仿宋_GB2312"/>
                <w:sz w:val="24"/>
              </w:rPr>
            </w:pPr>
            <w:r>
              <w:rPr>
                <w:rFonts w:ascii="仿宋_GB2312" w:eastAsia="仿宋_GB2312" w:hint="eastAsia"/>
                <w:sz w:val="24"/>
              </w:rPr>
              <w:t>2946</w:t>
            </w:r>
          </w:p>
        </w:tc>
      </w:tr>
      <w:tr w:rsidR="00600660" w14:paraId="0878AFC3" w14:textId="77777777" w:rsidTr="00A55EF1">
        <w:trPr>
          <w:trHeight w:val="270"/>
          <w:jc w:val="center"/>
        </w:trPr>
        <w:tc>
          <w:tcPr>
            <w:tcW w:w="2263" w:type="dxa"/>
            <w:tcBorders>
              <w:top w:val="nil"/>
              <w:left w:val="single" w:sz="4" w:space="0" w:color="auto"/>
              <w:bottom w:val="single" w:sz="4" w:space="0" w:color="auto"/>
              <w:right w:val="single" w:sz="4" w:space="0" w:color="auto"/>
            </w:tcBorders>
            <w:noWrap/>
            <w:vAlign w:val="center"/>
          </w:tcPr>
          <w:p w14:paraId="7F43CF4C" w14:textId="77777777" w:rsidR="00600660" w:rsidRDefault="00600660" w:rsidP="00A55EF1">
            <w:pPr>
              <w:widowControl/>
              <w:jc w:val="center"/>
              <w:rPr>
                <w:rFonts w:ascii="仿宋_GB2312" w:eastAsia="仿宋_GB2312"/>
                <w:sz w:val="24"/>
              </w:rPr>
            </w:pPr>
            <w:r>
              <w:rPr>
                <w:rFonts w:ascii="仿宋_GB2312" w:eastAsia="仿宋_GB2312" w:hint="eastAsia"/>
                <w:sz w:val="24"/>
              </w:rPr>
              <w:t>卢龙县</w:t>
            </w:r>
          </w:p>
        </w:tc>
        <w:tc>
          <w:tcPr>
            <w:tcW w:w="1560" w:type="dxa"/>
            <w:tcBorders>
              <w:top w:val="single" w:sz="4" w:space="0" w:color="auto"/>
              <w:left w:val="nil"/>
              <w:bottom w:val="single" w:sz="4" w:space="0" w:color="auto"/>
              <w:right w:val="single" w:sz="4" w:space="0" w:color="auto"/>
            </w:tcBorders>
            <w:vAlign w:val="center"/>
          </w:tcPr>
          <w:p w14:paraId="67749D54" w14:textId="77777777" w:rsidR="00600660" w:rsidRDefault="00600660" w:rsidP="00A55EF1">
            <w:pPr>
              <w:widowControl/>
              <w:jc w:val="center"/>
              <w:rPr>
                <w:rFonts w:ascii="仿宋_GB2312" w:eastAsia="仿宋_GB2312"/>
                <w:sz w:val="24"/>
              </w:rPr>
            </w:pPr>
            <w:r>
              <w:rPr>
                <w:rFonts w:ascii="仿宋_GB2312" w:eastAsia="仿宋_GB2312" w:hint="eastAsia"/>
                <w:sz w:val="24"/>
              </w:rPr>
              <w:t>650</w:t>
            </w:r>
          </w:p>
        </w:tc>
        <w:tc>
          <w:tcPr>
            <w:tcW w:w="1417" w:type="dxa"/>
            <w:tcBorders>
              <w:top w:val="single" w:sz="4" w:space="0" w:color="auto"/>
              <w:left w:val="single" w:sz="4" w:space="0" w:color="auto"/>
              <w:bottom w:val="single" w:sz="4" w:space="0" w:color="auto"/>
              <w:right w:val="single" w:sz="4" w:space="0" w:color="auto"/>
            </w:tcBorders>
            <w:vAlign w:val="center"/>
          </w:tcPr>
          <w:p w14:paraId="7FC49021" w14:textId="77777777" w:rsidR="00600660" w:rsidRDefault="00600660" w:rsidP="00A55EF1">
            <w:pPr>
              <w:widowControl/>
              <w:jc w:val="center"/>
              <w:rPr>
                <w:rFonts w:ascii="仿宋_GB2312" w:eastAsia="仿宋_GB2312"/>
                <w:sz w:val="24"/>
              </w:rPr>
            </w:pPr>
            <w:r>
              <w:rPr>
                <w:rFonts w:ascii="仿宋_GB2312" w:eastAsia="仿宋_GB2312" w:hint="eastAsia"/>
                <w:sz w:val="24"/>
              </w:rPr>
              <w:t>1556</w:t>
            </w:r>
          </w:p>
        </w:tc>
        <w:tc>
          <w:tcPr>
            <w:tcW w:w="1418" w:type="dxa"/>
            <w:tcBorders>
              <w:top w:val="nil"/>
              <w:left w:val="single" w:sz="4" w:space="0" w:color="auto"/>
              <w:bottom w:val="single" w:sz="4" w:space="0" w:color="auto"/>
              <w:right w:val="single" w:sz="4" w:space="0" w:color="auto"/>
            </w:tcBorders>
            <w:noWrap/>
            <w:vAlign w:val="center"/>
          </w:tcPr>
          <w:p w14:paraId="32DA426B" w14:textId="77777777" w:rsidR="00600660" w:rsidRDefault="00600660" w:rsidP="00A55EF1">
            <w:pPr>
              <w:widowControl/>
              <w:jc w:val="center"/>
              <w:rPr>
                <w:rFonts w:ascii="仿宋_GB2312" w:eastAsia="仿宋_GB2312"/>
                <w:sz w:val="24"/>
              </w:rPr>
            </w:pPr>
            <w:r>
              <w:rPr>
                <w:rFonts w:ascii="仿宋_GB2312" w:eastAsia="仿宋_GB2312" w:hint="eastAsia"/>
                <w:sz w:val="24"/>
              </w:rPr>
              <w:t>1519</w:t>
            </w:r>
          </w:p>
        </w:tc>
        <w:tc>
          <w:tcPr>
            <w:tcW w:w="1559" w:type="dxa"/>
            <w:tcBorders>
              <w:top w:val="nil"/>
              <w:left w:val="nil"/>
              <w:bottom w:val="single" w:sz="4" w:space="0" w:color="auto"/>
              <w:right w:val="single" w:sz="4" w:space="0" w:color="auto"/>
            </w:tcBorders>
            <w:noWrap/>
            <w:vAlign w:val="center"/>
          </w:tcPr>
          <w:p w14:paraId="7A32C33B" w14:textId="77777777" w:rsidR="00600660" w:rsidRDefault="00600660" w:rsidP="00A55EF1">
            <w:pPr>
              <w:widowControl/>
              <w:jc w:val="center"/>
              <w:rPr>
                <w:rFonts w:ascii="仿宋_GB2312" w:eastAsia="仿宋_GB2312"/>
                <w:sz w:val="24"/>
              </w:rPr>
            </w:pPr>
            <w:r>
              <w:rPr>
                <w:rFonts w:ascii="仿宋_GB2312" w:eastAsia="仿宋_GB2312" w:hint="eastAsia"/>
                <w:sz w:val="24"/>
              </w:rPr>
              <w:t>3725</w:t>
            </w:r>
          </w:p>
        </w:tc>
      </w:tr>
      <w:tr w:rsidR="00600660" w14:paraId="73334E5E" w14:textId="77777777" w:rsidTr="00A55EF1">
        <w:trPr>
          <w:trHeight w:val="270"/>
          <w:jc w:val="center"/>
        </w:trPr>
        <w:tc>
          <w:tcPr>
            <w:tcW w:w="2263" w:type="dxa"/>
            <w:tcBorders>
              <w:top w:val="nil"/>
              <w:left w:val="single" w:sz="4" w:space="0" w:color="auto"/>
              <w:bottom w:val="single" w:sz="4" w:space="0" w:color="auto"/>
              <w:right w:val="single" w:sz="4" w:space="0" w:color="auto"/>
            </w:tcBorders>
            <w:noWrap/>
            <w:vAlign w:val="center"/>
          </w:tcPr>
          <w:p w14:paraId="18FB9319" w14:textId="77777777" w:rsidR="00600660" w:rsidRDefault="00600660" w:rsidP="00A55EF1">
            <w:pPr>
              <w:widowControl/>
              <w:jc w:val="center"/>
              <w:rPr>
                <w:rFonts w:ascii="仿宋_GB2312" w:eastAsia="仿宋_GB2312"/>
                <w:sz w:val="24"/>
              </w:rPr>
            </w:pPr>
            <w:r>
              <w:rPr>
                <w:rFonts w:ascii="仿宋_GB2312" w:eastAsia="仿宋_GB2312" w:hint="eastAsia"/>
                <w:sz w:val="24"/>
              </w:rPr>
              <w:t>开发区</w:t>
            </w:r>
          </w:p>
        </w:tc>
        <w:tc>
          <w:tcPr>
            <w:tcW w:w="1560" w:type="dxa"/>
            <w:tcBorders>
              <w:top w:val="single" w:sz="4" w:space="0" w:color="auto"/>
              <w:left w:val="nil"/>
              <w:bottom w:val="single" w:sz="4" w:space="0" w:color="auto"/>
              <w:right w:val="single" w:sz="4" w:space="0" w:color="auto"/>
            </w:tcBorders>
            <w:vAlign w:val="center"/>
          </w:tcPr>
          <w:p w14:paraId="0646F5F6" w14:textId="77777777" w:rsidR="00600660" w:rsidRDefault="00600660" w:rsidP="00A55EF1">
            <w:pPr>
              <w:widowControl/>
              <w:jc w:val="center"/>
              <w:rPr>
                <w:rFonts w:ascii="仿宋_GB2312" w:eastAsia="仿宋_GB2312"/>
                <w:sz w:val="24"/>
              </w:rPr>
            </w:pPr>
            <w:r>
              <w:rPr>
                <w:rFonts w:ascii="仿宋_GB2312" w:eastAsia="仿宋_GB2312" w:hint="eastAsia"/>
                <w:sz w:val="24"/>
              </w:rPr>
              <w:t>20</w:t>
            </w:r>
          </w:p>
        </w:tc>
        <w:tc>
          <w:tcPr>
            <w:tcW w:w="1417" w:type="dxa"/>
            <w:tcBorders>
              <w:top w:val="single" w:sz="4" w:space="0" w:color="auto"/>
              <w:left w:val="single" w:sz="4" w:space="0" w:color="auto"/>
              <w:bottom w:val="single" w:sz="4" w:space="0" w:color="auto"/>
              <w:right w:val="single" w:sz="4" w:space="0" w:color="auto"/>
            </w:tcBorders>
            <w:vAlign w:val="center"/>
          </w:tcPr>
          <w:p w14:paraId="6B56839B" w14:textId="77777777" w:rsidR="00600660" w:rsidRDefault="00600660" w:rsidP="00A55EF1">
            <w:pPr>
              <w:widowControl/>
              <w:jc w:val="center"/>
              <w:rPr>
                <w:rFonts w:ascii="仿宋_GB2312" w:eastAsia="仿宋_GB2312"/>
                <w:sz w:val="24"/>
              </w:rPr>
            </w:pPr>
            <w:r>
              <w:rPr>
                <w:rFonts w:ascii="仿宋_GB2312" w:eastAsia="仿宋_GB2312" w:hint="eastAsia"/>
                <w:sz w:val="24"/>
              </w:rPr>
              <w:t>46</w:t>
            </w:r>
          </w:p>
        </w:tc>
        <w:tc>
          <w:tcPr>
            <w:tcW w:w="1418" w:type="dxa"/>
            <w:tcBorders>
              <w:top w:val="nil"/>
              <w:left w:val="single" w:sz="4" w:space="0" w:color="auto"/>
              <w:bottom w:val="single" w:sz="4" w:space="0" w:color="auto"/>
              <w:right w:val="single" w:sz="4" w:space="0" w:color="auto"/>
            </w:tcBorders>
            <w:noWrap/>
            <w:vAlign w:val="center"/>
          </w:tcPr>
          <w:p w14:paraId="7103B5B6" w14:textId="77777777" w:rsidR="00600660" w:rsidRDefault="00600660" w:rsidP="00A55EF1">
            <w:pPr>
              <w:widowControl/>
              <w:jc w:val="center"/>
              <w:rPr>
                <w:rFonts w:ascii="仿宋_GB2312" w:eastAsia="仿宋_GB2312"/>
                <w:sz w:val="24"/>
              </w:rPr>
            </w:pPr>
            <w:r>
              <w:rPr>
                <w:rFonts w:ascii="仿宋_GB2312" w:eastAsia="仿宋_GB2312" w:hint="eastAsia"/>
                <w:sz w:val="24"/>
              </w:rPr>
              <w:t>35</w:t>
            </w:r>
          </w:p>
        </w:tc>
        <w:tc>
          <w:tcPr>
            <w:tcW w:w="1559" w:type="dxa"/>
            <w:tcBorders>
              <w:top w:val="nil"/>
              <w:left w:val="nil"/>
              <w:bottom w:val="single" w:sz="4" w:space="0" w:color="auto"/>
              <w:right w:val="single" w:sz="4" w:space="0" w:color="auto"/>
            </w:tcBorders>
            <w:noWrap/>
            <w:vAlign w:val="center"/>
          </w:tcPr>
          <w:p w14:paraId="365EF03E" w14:textId="77777777" w:rsidR="00600660" w:rsidRDefault="00600660" w:rsidP="00A55EF1">
            <w:pPr>
              <w:widowControl/>
              <w:jc w:val="center"/>
              <w:rPr>
                <w:rFonts w:ascii="仿宋_GB2312" w:eastAsia="仿宋_GB2312"/>
                <w:sz w:val="24"/>
              </w:rPr>
            </w:pPr>
            <w:r>
              <w:rPr>
                <w:rFonts w:ascii="仿宋_GB2312" w:eastAsia="仿宋_GB2312" w:hint="eastAsia"/>
                <w:sz w:val="24"/>
              </w:rPr>
              <w:t>101</w:t>
            </w:r>
          </w:p>
        </w:tc>
      </w:tr>
      <w:tr w:rsidR="00600660" w14:paraId="04054B7F" w14:textId="77777777" w:rsidTr="00A55EF1">
        <w:trPr>
          <w:trHeight w:val="270"/>
          <w:jc w:val="center"/>
        </w:trPr>
        <w:tc>
          <w:tcPr>
            <w:tcW w:w="2263" w:type="dxa"/>
            <w:tcBorders>
              <w:top w:val="nil"/>
              <w:left w:val="single" w:sz="4" w:space="0" w:color="auto"/>
              <w:bottom w:val="single" w:sz="4" w:space="0" w:color="auto"/>
              <w:right w:val="single" w:sz="4" w:space="0" w:color="auto"/>
            </w:tcBorders>
            <w:noWrap/>
            <w:vAlign w:val="center"/>
          </w:tcPr>
          <w:p w14:paraId="12524FCE" w14:textId="77777777" w:rsidR="00600660" w:rsidRDefault="00600660" w:rsidP="00A55EF1">
            <w:pPr>
              <w:widowControl/>
              <w:jc w:val="center"/>
              <w:rPr>
                <w:rFonts w:ascii="仿宋_GB2312" w:eastAsia="仿宋_GB2312"/>
                <w:sz w:val="24"/>
              </w:rPr>
            </w:pPr>
            <w:r>
              <w:rPr>
                <w:rFonts w:ascii="仿宋_GB2312" w:eastAsia="仿宋_GB2312" w:hint="eastAsia"/>
                <w:sz w:val="24"/>
              </w:rPr>
              <w:t>北戴河新区</w:t>
            </w:r>
          </w:p>
        </w:tc>
        <w:tc>
          <w:tcPr>
            <w:tcW w:w="1560" w:type="dxa"/>
            <w:tcBorders>
              <w:top w:val="single" w:sz="4" w:space="0" w:color="auto"/>
              <w:left w:val="nil"/>
              <w:bottom w:val="single" w:sz="4" w:space="0" w:color="auto"/>
              <w:right w:val="single" w:sz="4" w:space="0" w:color="auto"/>
            </w:tcBorders>
            <w:vAlign w:val="center"/>
          </w:tcPr>
          <w:p w14:paraId="7ACC5BC9" w14:textId="77777777" w:rsidR="00600660" w:rsidRDefault="00600660" w:rsidP="00A55EF1">
            <w:pPr>
              <w:widowControl/>
              <w:jc w:val="center"/>
              <w:rPr>
                <w:rFonts w:ascii="仿宋_GB2312" w:eastAsia="仿宋_GB2312"/>
                <w:sz w:val="24"/>
              </w:rPr>
            </w:pPr>
            <w:r>
              <w:rPr>
                <w:rFonts w:ascii="仿宋_GB2312" w:eastAsia="仿宋_GB2312" w:hint="eastAsia"/>
                <w:sz w:val="24"/>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CEA38F1" w14:textId="77777777" w:rsidR="00600660" w:rsidRDefault="00600660" w:rsidP="00A55EF1">
            <w:pPr>
              <w:widowControl/>
              <w:jc w:val="center"/>
              <w:rPr>
                <w:rFonts w:ascii="仿宋_GB2312" w:eastAsia="仿宋_GB2312"/>
                <w:sz w:val="24"/>
              </w:rPr>
            </w:pPr>
            <w:r>
              <w:rPr>
                <w:rFonts w:ascii="仿宋_GB2312" w:eastAsia="仿宋_GB2312" w:hint="eastAsia"/>
                <w:sz w:val="24"/>
              </w:rPr>
              <w:t>55</w:t>
            </w:r>
          </w:p>
        </w:tc>
        <w:tc>
          <w:tcPr>
            <w:tcW w:w="1418" w:type="dxa"/>
            <w:tcBorders>
              <w:top w:val="nil"/>
              <w:left w:val="single" w:sz="4" w:space="0" w:color="auto"/>
              <w:bottom w:val="single" w:sz="4" w:space="0" w:color="auto"/>
              <w:right w:val="single" w:sz="4" w:space="0" w:color="auto"/>
            </w:tcBorders>
            <w:noWrap/>
            <w:vAlign w:val="center"/>
          </w:tcPr>
          <w:p w14:paraId="1097200A" w14:textId="77777777" w:rsidR="00600660" w:rsidRDefault="00600660" w:rsidP="00A55EF1">
            <w:pPr>
              <w:widowControl/>
              <w:jc w:val="center"/>
              <w:rPr>
                <w:rFonts w:ascii="仿宋_GB2312" w:eastAsia="仿宋_GB2312"/>
                <w:sz w:val="24"/>
              </w:rPr>
            </w:pPr>
            <w:r>
              <w:rPr>
                <w:rFonts w:ascii="仿宋_GB2312" w:eastAsia="仿宋_GB2312" w:hint="eastAsia"/>
                <w:sz w:val="24"/>
              </w:rPr>
              <w:t>54</w:t>
            </w:r>
          </w:p>
        </w:tc>
        <w:tc>
          <w:tcPr>
            <w:tcW w:w="1559" w:type="dxa"/>
            <w:tcBorders>
              <w:top w:val="nil"/>
              <w:left w:val="nil"/>
              <w:bottom w:val="single" w:sz="4" w:space="0" w:color="auto"/>
              <w:right w:val="single" w:sz="4" w:space="0" w:color="auto"/>
            </w:tcBorders>
            <w:noWrap/>
            <w:vAlign w:val="center"/>
          </w:tcPr>
          <w:p w14:paraId="10B4D2BD" w14:textId="77777777" w:rsidR="00600660" w:rsidRDefault="00600660" w:rsidP="00A55EF1">
            <w:pPr>
              <w:widowControl/>
              <w:jc w:val="center"/>
              <w:rPr>
                <w:rFonts w:ascii="仿宋_GB2312" w:eastAsia="仿宋_GB2312"/>
                <w:sz w:val="24"/>
              </w:rPr>
            </w:pPr>
            <w:r>
              <w:rPr>
                <w:rFonts w:ascii="仿宋_GB2312" w:eastAsia="仿宋_GB2312" w:hint="eastAsia"/>
                <w:sz w:val="24"/>
              </w:rPr>
              <w:t>139</w:t>
            </w:r>
          </w:p>
        </w:tc>
      </w:tr>
      <w:tr w:rsidR="00600660" w14:paraId="189FA1F6" w14:textId="77777777" w:rsidTr="00A55EF1">
        <w:trPr>
          <w:trHeight w:val="270"/>
          <w:jc w:val="center"/>
        </w:trPr>
        <w:tc>
          <w:tcPr>
            <w:tcW w:w="2263" w:type="dxa"/>
            <w:tcBorders>
              <w:top w:val="nil"/>
              <w:left w:val="single" w:sz="4" w:space="0" w:color="auto"/>
              <w:bottom w:val="single" w:sz="4" w:space="0" w:color="auto"/>
              <w:right w:val="single" w:sz="4" w:space="0" w:color="auto"/>
            </w:tcBorders>
            <w:noWrap/>
            <w:vAlign w:val="center"/>
          </w:tcPr>
          <w:p w14:paraId="5A2DE867" w14:textId="77777777" w:rsidR="00600660" w:rsidRDefault="00600660" w:rsidP="00A55EF1">
            <w:pPr>
              <w:widowControl/>
              <w:jc w:val="center"/>
              <w:rPr>
                <w:rFonts w:ascii="仿宋_GB2312" w:eastAsia="仿宋_GB2312"/>
                <w:sz w:val="24"/>
              </w:rPr>
            </w:pPr>
            <w:r>
              <w:rPr>
                <w:rFonts w:ascii="仿宋_GB2312" w:eastAsia="仿宋_GB2312" w:hint="eastAsia"/>
                <w:sz w:val="24"/>
              </w:rPr>
              <w:t>合计</w:t>
            </w:r>
          </w:p>
        </w:tc>
        <w:tc>
          <w:tcPr>
            <w:tcW w:w="1560" w:type="dxa"/>
            <w:tcBorders>
              <w:top w:val="single" w:sz="4" w:space="0" w:color="auto"/>
              <w:left w:val="nil"/>
              <w:bottom w:val="single" w:sz="4" w:space="0" w:color="auto"/>
              <w:right w:val="single" w:sz="4" w:space="0" w:color="auto"/>
            </w:tcBorders>
            <w:vAlign w:val="center"/>
          </w:tcPr>
          <w:p w14:paraId="2E39AA22" w14:textId="77777777" w:rsidR="00600660" w:rsidRDefault="00600660" w:rsidP="00A55EF1">
            <w:pPr>
              <w:widowControl/>
              <w:jc w:val="center"/>
              <w:rPr>
                <w:rFonts w:ascii="仿宋_GB2312" w:eastAsia="仿宋_GB2312"/>
                <w:sz w:val="24"/>
              </w:rPr>
            </w:pPr>
            <w:r>
              <w:rPr>
                <w:rFonts w:ascii="仿宋_GB2312" w:eastAsia="仿宋_GB2312" w:hint="eastAsia"/>
                <w:sz w:val="24"/>
              </w:rPr>
              <w:t>3090</w:t>
            </w:r>
          </w:p>
        </w:tc>
        <w:tc>
          <w:tcPr>
            <w:tcW w:w="1417" w:type="dxa"/>
            <w:tcBorders>
              <w:top w:val="single" w:sz="4" w:space="0" w:color="auto"/>
              <w:left w:val="single" w:sz="4" w:space="0" w:color="auto"/>
              <w:bottom w:val="single" w:sz="4" w:space="0" w:color="auto"/>
              <w:right w:val="single" w:sz="4" w:space="0" w:color="auto"/>
            </w:tcBorders>
            <w:vAlign w:val="center"/>
          </w:tcPr>
          <w:p w14:paraId="7540B7B6" w14:textId="77777777" w:rsidR="00600660" w:rsidRDefault="00600660" w:rsidP="00A55EF1">
            <w:pPr>
              <w:widowControl/>
              <w:jc w:val="center"/>
              <w:rPr>
                <w:rFonts w:ascii="仿宋_GB2312" w:eastAsia="仿宋_GB2312"/>
                <w:sz w:val="24"/>
              </w:rPr>
            </w:pPr>
            <w:r>
              <w:rPr>
                <w:rFonts w:ascii="仿宋_GB2312" w:eastAsia="仿宋_GB2312" w:hint="eastAsia"/>
                <w:sz w:val="24"/>
              </w:rPr>
              <w:t>7278</w:t>
            </w:r>
          </w:p>
        </w:tc>
        <w:tc>
          <w:tcPr>
            <w:tcW w:w="1418" w:type="dxa"/>
            <w:tcBorders>
              <w:top w:val="nil"/>
              <w:left w:val="single" w:sz="4" w:space="0" w:color="auto"/>
              <w:bottom w:val="single" w:sz="4" w:space="0" w:color="auto"/>
              <w:right w:val="single" w:sz="4" w:space="0" w:color="auto"/>
            </w:tcBorders>
            <w:noWrap/>
            <w:vAlign w:val="center"/>
          </w:tcPr>
          <w:p w14:paraId="4ED4A765" w14:textId="77777777" w:rsidR="00600660" w:rsidRDefault="00600660" w:rsidP="00A55EF1">
            <w:pPr>
              <w:widowControl/>
              <w:jc w:val="center"/>
              <w:rPr>
                <w:rFonts w:ascii="仿宋_GB2312" w:eastAsia="仿宋_GB2312"/>
                <w:sz w:val="24"/>
              </w:rPr>
            </w:pPr>
            <w:r>
              <w:rPr>
                <w:rFonts w:ascii="仿宋_GB2312" w:eastAsia="仿宋_GB2312" w:hint="eastAsia"/>
                <w:sz w:val="24"/>
              </w:rPr>
              <w:t>7142</w:t>
            </w:r>
          </w:p>
        </w:tc>
        <w:tc>
          <w:tcPr>
            <w:tcW w:w="1559" w:type="dxa"/>
            <w:tcBorders>
              <w:top w:val="nil"/>
              <w:left w:val="nil"/>
              <w:bottom w:val="single" w:sz="4" w:space="0" w:color="auto"/>
              <w:right w:val="single" w:sz="4" w:space="0" w:color="auto"/>
            </w:tcBorders>
            <w:noWrap/>
            <w:vAlign w:val="center"/>
          </w:tcPr>
          <w:p w14:paraId="4F26A548" w14:textId="77777777" w:rsidR="00600660" w:rsidRDefault="00600660" w:rsidP="00A55EF1">
            <w:pPr>
              <w:widowControl/>
              <w:jc w:val="center"/>
              <w:rPr>
                <w:rFonts w:ascii="仿宋_GB2312" w:eastAsia="仿宋_GB2312"/>
                <w:sz w:val="24"/>
              </w:rPr>
            </w:pPr>
            <w:r>
              <w:rPr>
                <w:rFonts w:ascii="仿宋_GB2312" w:eastAsia="仿宋_GB2312" w:hint="eastAsia"/>
                <w:sz w:val="24"/>
              </w:rPr>
              <w:t>17510</w:t>
            </w:r>
          </w:p>
        </w:tc>
      </w:tr>
    </w:tbl>
    <w:p w14:paraId="3F1515F0"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2、社会工作服务中心项目</w:t>
      </w:r>
    </w:p>
    <w:p w14:paraId="26F75B2D"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2020年通过自行招标方式、2021年和2022年通过政府采购方式采购社会服务中心建设项目，三个年度的采购金额分别是33.8万元、42.5万元和55.989万元。2020年及</w:t>
      </w:r>
      <w:r w:rsidRPr="00823BAD">
        <w:rPr>
          <w:rFonts w:ascii="仿宋_GB2312" w:eastAsia="仿宋_GB2312" w:hint="eastAsia"/>
          <w:sz w:val="32"/>
          <w:szCs w:val="32"/>
        </w:rPr>
        <w:lastRenderedPageBreak/>
        <w:t>2021年的项目款项已全部支付，2022年项目款尚余5.5989万元未支付。</w:t>
      </w:r>
    </w:p>
    <w:p w14:paraId="7A718FA8"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2020年建设社工站2个， 分别为山海关区西关街道社工站和海港区东环路街道社工站。经过北京市通州区乾德社会工作事务所评估得分96分，等级为优秀。根据绩效目标表，2020年社工站的建设目标是3个。</w:t>
      </w:r>
    </w:p>
    <w:p w14:paraId="71A116B7"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2021年建设社工站3个， 分别为北戴河区东经路社区社工站、青龙满族自治县大森店村社工站和青龙满族自治县安子岭乡东山村社工站。经过北京市昌平区润禾社会工作事务所评估得分95分，等级为优秀。</w:t>
      </w:r>
    </w:p>
    <w:p w14:paraId="4BF15FE5"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2022年建设社工站5个，分别为北戴河区东山街道育花路社区、北戴河区西山街道安居社区、北戴河区海滨镇草场村、北戴河区戴河镇路北社区和北戴河区牛头崖镇蒲兰村。经过北京市通州区乾德社会工作事务所中期评估得分90.5分，等级为优秀。</w:t>
      </w:r>
    </w:p>
    <w:p w14:paraId="05F89FF3"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2020年至2022年，分别委托北京市通州区乾德社会工作事务所和北京市昌平区润禾社会工作事务所对社会服务中心建设情况进行评估，2020年及2021年项目评估工作已完成并出具评估报告，两个年度的评估费分别为5.95万元和7.5万元已全部支付。2022年中期评估已完成、年末评估尚未完成，2022年已支付评估费7.8万元，其余1.95万元尚未支付。</w:t>
      </w:r>
    </w:p>
    <w:p w14:paraId="2E1CD2E5" w14:textId="77777777" w:rsidR="00600660" w:rsidRPr="00823BAD" w:rsidRDefault="00600660" w:rsidP="00600660">
      <w:pPr>
        <w:spacing w:line="580" w:lineRule="exact"/>
        <w:ind w:firstLine="560"/>
        <w:rPr>
          <w:rFonts w:ascii="仿宋_GB2312" w:eastAsia="仿宋_GB2312"/>
          <w:sz w:val="32"/>
          <w:szCs w:val="32"/>
        </w:rPr>
      </w:pPr>
      <w:r w:rsidRPr="00823BAD">
        <w:rPr>
          <w:rFonts w:ascii="仿宋_GB2312" w:eastAsia="仿宋_GB2312" w:hint="eastAsia"/>
          <w:sz w:val="32"/>
          <w:szCs w:val="32"/>
        </w:rPr>
        <w:t>3、社会工作者考前培训项目</w:t>
      </w:r>
    </w:p>
    <w:p w14:paraId="22D355B6"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2020年组织考前培训251人，当年度通过考试 101人，</w:t>
      </w:r>
      <w:r w:rsidRPr="00823BAD">
        <w:rPr>
          <w:rFonts w:ascii="仿宋_GB2312" w:eastAsia="仿宋_GB2312" w:hint="eastAsia"/>
          <w:sz w:val="32"/>
          <w:szCs w:val="32"/>
        </w:rPr>
        <w:lastRenderedPageBreak/>
        <w:t>考试通过率40%。</w:t>
      </w:r>
    </w:p>
    <w:p w14:paraId="208BFBA3"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2021年组织考前培训234人，当年度通过考试 42人，考试通过率18%。</w:t>
      </w:r>
    </w:p>
    <w:p w14:paraId="354171DC"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2022年组织考前培训296人，当年度通过考试 158人，考试通过率53%。根据绩效目标表，2022年考前培训计划目标是350人。</w:t>
      </w:r>
    </w:p>
    <w:p w14:paraId="2AB9D000" w14:textId="77777777" w:rsidR="00600660" w:rsidRPr="00823BAD" w:rsidRDefault="00600660" w:rsidP="00600660">
      <w:pPr>
        <w:spacing w:line="580" w:lineRule="exact"/>
        <w:ind w:firstLineChars="200" w:firstLine="640"/>
        <w:rPr>
          <w:rFonts w:ascii="仿宋_GB2312" w:eastAsia="仿宋_GB2312"/>
          <w:sz w:val="32"/>
          <w:szCs w:val="32"/>
        </w:rPr>
      </w:pPr>
      <w:r w:rsidRPr="00823BAD">
        <w:rPr>
          <w:rFonts w:ascii="仿宋_GB2312" w:eastAsia="仿宋_GB2312" w:hint="eastAsia"/>
          <w:sz w:val="32"/>
          <w:szCs w:val="32"/>
        </w:rPr>
        <w:t>三年参训人数合计781人，考试合格301人，考试通过率39%。培训费用16.23万元已全部支付。</w:t>
      </w:r>
    </w:p>
    <w:p w14:paraId="356D69FD" w14:textId="77777777" w:rsidR="00600660" w:rsidRPr="00823BAD" w:rsidRDefault="00600660" w:rsidP="00600660">
      <w:pPr>
        <w:spacing w:line="580" w:lineRule="exact"/>
        <w:ind w:firstLineChars="200" w:firstLine="640"/>
        <w:rPr>
          <w:rFonts w:ascii="仿宋_GB2312" w:eastAsia="仿宋_GB2312"/>
          <w:b/>
          <w:bCs/>
          <w:sz w:val="32"/>
          <w:szCs w:val="32"/>
        </w:rPr>
      </w:pPr>
      <w:r w:rsidRPr="00823BAD">
        <w:rPr>
          <w:rFonts w:ascii="仿宋_GB2312" w:eastAsia="仿宋_GB2312" w:hint="eastAsia"/>
          <w:b/>
          <w:bCs/>
          <w:sz w:val="32"/>
          <w:szCs w:val="32"/>
        </w:rPr>
        <w:t>二、评价结论和绩效情况分析</w:t>
      </w:r>
    </w:p>
    <w:p w14:paraId="4187EE85" w14:textId="77777777" w:rsidR="00600660" w:rsidRPr="00823BAD" w:rsidRDefault="00600660" w:rsidP="00600660">
      <w:pPr>
        <w:spacing w:line="580" w:lineRule="exact"/>
        <w:ind w:firstLineChars="200" w:firstLine="640"/>
        <w:rPr>
          <w:rFonts w:ascii="仿宋_GB2312" w:eastAsia="仿宋_GB2312"/>
          <w:b/>
          <w:bCs/>
          <w:sz w:val="32"/>
          <w:szCs w:val="32"/>
        </w:rPr>
      </w:pPr>
      <w:r w:rsidRPr="00823BAD">
        <w:rPr>
          <w:rFonts w:ascii="仿宋_GB2312" w:eastAsia="仿宋_GB2312" w:hint="eastAsia"/>
          <w:b/>
          <w:bCs/>
          <w:sz w:val="32"/>
          <w:szCs w:val="32"/>
        </w:rPr>
        <w:t>（一）评价结论</w:t>
      </w:r>
    </w:p>
    <w:p w14:paraId="16D63577" w14:textId="77777777" w:rsidR="00600660" w:rsidRPr="00823BAD" w:rsidRDefault="00600660" w:rsidP="00600660">
      <w:pPr>
        <w:adjustRightInd w:val="0"/>
        <w:snapToGrid w:val="0"/>
        <w:spacing w:line="580" w:lineRule="exact"/>
        <w:ind w:firstLineChars="200" w:firstLine="640"/>
        <w:rPr>
          <w:rFonts w:ascii="仿宋_GB2312" w:eastAsia="仿宋_GB2312" w:cs="宋体"/>
          <w:bCs/>
          <w:color w:val="000000"/>
          <w:kern w:val="0"/>
          <w:sz w:val="32"/>
          <w:szCs w:val="32"/>
        </w:rPr>
      </w:pPr>
      <w:r w:rsidRPr="00823BAD">
        <w:rPr>
          <w:rFonts w:ascii="仿宋_GB2312" w:eastAsia="仿宋_GB2312" w:cs="仿宋_GB2312" w:hint="eastAsia"/>
          <w:color w:val="000000"/>
          <w:sz w:val="32"/>
          <w:szCs w:val="32"/>
        </w:rPr>
        <w:t>评价工作组对</w:t>
      </w:r>
      <w:r w:rsidRPr="00823BAD">
        <w:rPr>
          <w:rFonts w:ascii="仿宋_GB2312" w:eastAsia="仿宋_GB2312" w:hint="eastAsia"/>
          <w:sz w:val="32"/>
          <w:szCs w:val="32"/>
        </w:rPr>
        <w:t>“秦皇岛市民政局社会公益活动”项目</w:t>
      </w:r>
      <w:r w:rsidRPr="00823BAD">
        <w:rPr>
          <w:rFonts w:ascii="仿宋_GB2312" w:eastAsia="仿宋_GB2312" w:cs="仿宋_GB2312" w:hint="eastAsia"/>
          <w:color w:val="000000"/>
          <w:sz w:val="32"/>
          <w:szCs w:val="32"/>
        </w:rPr>
        <w:t>设定了管理绩效指标40分，结果绩效指标60分，评价得分87.94分，评价结果为良。</w:t>
      </w:r>
    </w:p>
    <w:p w14:paraId="32CDE535" w14:textId="77777777" w:rsidR="00600660" w:rsidRPr="00823BAD" w:rsidRDefault="00600660" w:rsidP="00600660">
      <w:pPr>
        <w:spacing w:line="580" w:lineRule="exact"/>
        <w:ind w:firstLineChars="200" w:firstLine="640"/>
        <w:rPr>
          <w:rFonts w:ascii="仿宋_GB2312" w:eastAsia="仿宋_GB2312"/>
          <w:b/>
          <w:bCs/>
          <w:sz w:val="32"/>
          <w:szCs w:val="32"/>
        </w:rPr>
      </w:pPr>
      <w:r w:rsidRPr="00823BAD">
        <w:rPr>
          <w:rFonts w:ascii="仿宋_GB2312" w:eastAsia="仿宋_GB2312" w:hint="eastAsia"/>
          <w:b/>
          <w:bCs/>
          <w:sz w:val="32"/>
          <w:szCs w:val="32"/>
        </w:rPr>
        <w:t>（二）绩效情况分析</w:t>
      </w:r>
    </w:p>
    <w:p w14:paraId="1FDEE6F7" w14:textId="77777777" w:rsidR="00600660" w:rsidRPr="00823BAD" w:rsidRDefault="00600660" w:rsidP="00600660">
      <w:pPr>
        <w:adjustRightInd w:val="0"/>
        <w:snapToGrid w:val="0"/>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1、管理绩效情况：</w:t>
      </w:r>
      <w:r w:rsidRPr="00823BAD">
        <w:rPr>
          <w:rFonts w:ascii="仿宋_GB2312" w:eastAsia="仿宋_GB2312" w:cs="仿宋_GB2312" w:hint="eastAsia"/>
          <w:color w:val="000000"/>
          <w:sz w:val="32"/>
          <w:szCs w:val="32"/>
        </w:rPr>
        <w:t>管理绩效指标权重40分，得分为33.94分。该项目立项依据相对充分、立项程序规范，资金使用规范，预算编制和资金分配合理性有待提高，部分绩效目标和指标编制不细化，指标设置与工作内容和计划支出不匹配，</w:t>
      </w:r>
      <w:r w:rsidRPr="00823BAD">
        <w:rPr>
          <w:rFonts w:ascii="仿宋_GB2312" w:eastAsia="仿宋_GB2312" w:cs="宋体" w:hint="eastAsia"/>
          <w:color w:val="000000"/>
          <w:kern w:val="0"/>
          <w:sz w:val="32"/>
          <w:szCs w:val="32"/>
        </w:rPr>
        <w:t xml:space="preserve">未通过清晰、可衡量的指标值予以体现。未建立与本项目相关的实施方案，且部分制度未全面执行到位。 </w:t>
      </w:r>
    </w:p>
    <w:p w14:paraId="454F5ADC" w14:textId="77777777" w:rsidR="00600660" w:rsidRPr="00823BAD" w:rsidRDefault="00600660" w:rsidP="00600660">
      <w:pPr>
        <w:spacing w:line="580" w:lineRule="exact"/>
        <w:ind w:firstLineChars="200" w:firstLine="640"/>
        <w:rPr>
          <w:rFonts w:ascii="仿宋_GB2312" w:eastAsia="仿宋_GB2312"/>
          <w:b/>
          <w:bCs/>
          <w:sz w:val="32"/>
          <w:szCs w:val="32"/>
          <w:highlight w:val="yellow"/>
        </w:rPr>
      </w:pPr>
      <w:r w:rsidRPr="00823BAD">
        <w:rPr>
          <w:rFonts w:ascii="仿宋_GB2312" w:eastAsia="仿宋_GB2312" w:cs="宋体" w:hint="eastAsia"/>
          <w:color w:val="000000"/>
          <w:kern w:val="0"/>
          <w:sz w:val="32"/>
          <w:szCs w:val="32"/>
        </w:rPr>
        <w:t>2、</w:t>
      </w:r>
      <w:r w:rsidRPr="00823BAD">
        <w:rPr>
          <w:rFonts w:ascii="仿宋_GB2312" w:eastAsia="仿宋_GB2312" w:cs="仿宋_GB2312" w:hint="eastAsia"/>
          <w:color w:val="000000"/>
          <w:sz w:val="32"/>
          <w:szCs w:val="32"/>
        </w:rPr>
        <w:t>结果绩效情况：结果绩效指标权重60分，得分为54分。</w:t>
      </w:r>
      <w:r w:rsidRPr="00823BAD">
        <w:rPr>
          <w:rFonts w:ascii="仿宋_GB2312" w:eastAsia="仿宋_GB2312" w:cs="宋体" w:hint="eastAsia"/>
          <w:color w:val="000000"/>
          <w:kern w:val="0"/>
          <w:sz w:val="32"/>
          <w:szCs w:val="32"/>
        </w:rPr>
        <w:t>项目实施具有一定的社会效益，受益对象满意度较高。但因为数量、质量等产出指标设置的不细化，因此无法将实际执行情况与目标情况进行量化对比。</w:t>
      </w:r>
    </w:p>
    <w:p w14:paraId="105D8E8E" w14:textId="77777777" w:rsidR="00600660" w:rsidRPr="00823BAD" w:rsidRDefault="00600660" w:rsidP="00600660">
      <w:pPr>
        <w:spacing w:line="580" w:lineRule="exact"/>
        <w:ind w:firstLineChars="200" w:firstLine="640"/>
        <w:rPr>
          <w:rFonts w:ascii="仿宋_GB2312" w:eastAsia="仿宋_GB2312"/>
          <w:b/>
          <w:bCs/>
          <w:sz w:val="32"/>
          <w:szCs w:val="32"/>
        </w:rPr>
      </w:pPr>
      <w:r w:rsidRPr="00823BAD">
        <w:rPr>
          <w:rFonts w:ascii="仿宋_GB2312" w:eastAsia="仿宋_GB2312" w:hint="eastAsia"/>
          <w:b/>
          <w:bCs/>
          <w:sz w:val="32"/>
          <w:szCs w:val="32"/>
        </w:rPr>
        <w:lastRenderedPageBreak/>
        <w:t>三、存在的问题及建议</w:t>
      </w:r>
    </w:p>
    <w:p w14:paraId="70328EE3" w14:textId="77777777" w:rsidR="00600660" w:rsidRPr="00823BAD" w:rsidRDefault="00600660" w:rsidP="00600660">
      <w:pPr>
        <w:spacing w:line="580" w:lineRule="exact"/>
        <w:ind w:firstLineChars="200" w:firstLine="640"/>
        <w:rPr>
          <w:rFonts w:ascii="仿宋_GB2312" w:eastAsia="仿宋_GB2312" w:cs="仿宋_GB2312"/>
          <w:b/>
          <w:bCs/>
          <w:color w:val="000000"/>
          <w:sz w:val="32"/>
          <w:szCs w:val="32"/>
        </w:rPr>
      </w:pPr>
      <w:r w:rsidRPr="00823BAD">
        <w:rPr>
          <w:rFonts w:ascii="仿宋_GB2312" w:eastAsia="仿宋_GB2312" w:cs="仿宋_GB2312" w:hint="eastAsia"/>
          <w:b/>
          <w:bCs/>
          <w:color w:val="000000"/>
          <w:sz w:val="32"/>
          <w:szCs w:val="32"/>
        </w:rPr>
        <w:t>（一）存在的问题</w:t>
      </w:r>
    </w:p>
    <w:p w14:paraId="5EA0883C"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1、绩效目标编制质量不高</w:t>
      </w:r>
    </w:p>
    <w:p w14:paraId="4F9743AE"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绩效目标编制工作有待提高，部分绩效目标未细化分解为具体的绩效指标，未通过清晰、可衡量的指标值予以体现。部分绩效目标未与项目目标任务数或计划数相对应。各年均存在数量指标、质量指标和时效指标不完整的情况。</w:t>
      </w:r>
    </w:p>
    <w:p w14:paraId="790C5AE6"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2、资金投入合理性有待提高</w:t>
      </w:r>
    </w:p>
    <w:p w14:paraId="6A0830F3"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本项目是公益金项目，根据当年预估收入以收定支并安排项目资金，由于缺少长期规划，对社工站建设和考前培训要在几年内完成、每年完成的百分比等工作缺少计划性，由此导致预算编制测算依据的充分性有待提高。另外，在确定本项目预算支出总额后，优先分配考前培训和社工站建设所需资金额度，剩余部分作为采购救助物资的预算额度。由于项目缺少长远规划，项目资金在三个子项的分配合理性方面也有待提高，另外采购的救助物资在各县区分配依据方面也缺少必要的分配计算。</w:t>
      </w:r>
    </w:p>
    <w:p w14:paraId="574ABCCF"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3、项目缺少整体规划</w:t>
      </w:r>
    </w:p>
    <w:p w14:paraId="693A2591"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1）对于社会服务中心项目，全市有多少社区需要建设服务中心、需要几年内建完、如何确保服务中心的建设和使用符合计划要求等方面缺少整体规划。2022年5月秦皇岛市民政局印发了《秦皇岛市乡镇(街道)社会工作服务站建设实施方案》和《秦皇岛市乡镇(街道)社会工作服务站建设指引手册》的通知，以2022年以后年度的建站工作具有一</w:t>
      </w:r>
      <w:r w:rsidRPr="00823BAD">
        <w:rPr>
          <w:rFonts w:ascii="仿宋_GB2312" w:eastAsia="仿宋_GB2312" w:cs="宋体" w:hint="eastAsia"/>
          <w:color w:val="000000"/>
          <w:kern w:val="0"/>
          <w:sz w:val="32"/>
          <w:szCs w:val="32"/>
        </w:rPr>
        <w:lastRenderedPageBreak/>
        <w:t>定指导作用。</w:t>
      </w:r>
    </w:p>
    <w:p w14:paraId="76C019BE"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（2）对于考前培训项目，每年培训多少社区工作者、目标合格率是多少、持证社区工作者要达到的比率或数量、如何评价第三方培训机构的培训效果等方面缺少规划。</w:t>
      </w:r>
    </w:p>
    <w:p w14:paraId="42A887B5"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4、未制定完整具体的项目实施方案和管理制度</w:t>
      </w:r>
    </w:p>
    <w:p w14:paraId="566B03FE"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考前培训项目、购买救助物资项目和社会服务中心项目均未制定相应的实施方案和管理制度。</w:t>
      </w:r>
    </w:p>
    <w:p w14:paraId="62850DEC"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1）对于购买救助物资项目，针对物资的验收流程、拨付各县区的标准、各县区的发放标准以及救助物资的结余管理没有明确规定。部分县区将救助物资发放给各乡镇和供养中心，部分县区将救助物资只发放给供养中心，缺乏对物资分配和发放的统一标准和制度；</w:t>
      </w:r>
    </w:p>
    <w:p w14:paraId="25741118"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（2）对于考前培训项目，针对供应商的遴选、培训效果和培训过程的管理与验收没有明确规定；</w:t>
      </w:r>
    </w:p>
    <w:p w14:paraId="70C090F2"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（3）对于社会服务中心项目，针对服务对象的申报与审核确认流程、服务中心的建设与服务标准等没有明确规定。</w:t>
      </w:r>
    </w:p>
    <w:p w14:paraId="26857BD7"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5、救助物资的利用效率有待提高</w:t>
      </w:r>
    </w:p>
    <w:p w14:paraId="69ECBE8B"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从救助物资结余情况看，截至现场评价日，大多数县区救助物资均已发放完毕，但海港区、开发区2022年度救助物资尚存在少量库存，说明救助物资在各县区之间的分配合理性有待提高，难以充分发挥救助物资的作用，应避免资金占用或米面油等物资过期作废。</w:t>
      </w:r>
    </w:p>
    <w:p w14:paraId="3A56D9BA"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6、2020年考前培训项目未履行招标、比选等采购流程</w:t>
      </w:r>
    </w:p>
    <w:p w14:paraId="30EB7862"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2020年考前培训项目采购金额39,800.00元，因为突</w:t>
      </w:r>
      <w:r w:rsidRPr="00823BAD">
        <w:rPr>
          <w:rFonts w:ascii="仿宋_GB2312" w:eastAsia="仿宋_GB2312" w:cs="宋体" w:hint="eastAsia"/>
          <w:color w:val="000000"/>
          <w:kern w:val="0"/>
          <w:sz w:val="32"/>
          <w:szCs w:val="32"/>
        </w:rPr>
        <w:lastRenderedPageBreak/>
        <w:t>发疫情原因，由原定线下培训改为线上培训，未履行招标、比选等采购流程。</w:t>
      </w:r>
    </w:p>
    <w:p w14:paraId="547609D6"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7、个别项目合同签订不规范，无骑缝章</w:t>
      </w:r>
    </w:p>
    <w:p w14:paraId="4F644676"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2020年考前培训合同未加盖骑缝章。根据市民政局内控制度，合同多于一页的，须在各页加盖骑缝章。</w:t>
      </w:r>
    </w:p>
    <w:p w14:paraId="54EFF009"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8、2020年度采购文件中要求承接机构必须在本市注册，与《中华人民共和国招标投标法》第六条不符</w:t>
      </w:r>
    </w:p>
    <w:p w14:paraId="13D87AF0" w14:textId="77777777" w:rsidR="00600660" w:rsidRPr="00823BAD" w:rsidRDefault="00600660" w:rsidP="00600660">
      <w:pPr>
        <w:spacing w:line="580" w:lineRule="exact"/>
        <w:ind w:firstLineChars="200" w:firstLine="640"/>
        <w:rPr>
          <w:rFonts w:ascii="仿宋_GB2312" w:eastAsia="仿宋_GB2312" w:cs="宋体"/>
          <w:color w:val="000000"/>
          <w:kern w:val="0"/>
          <w:sz w:val="32"/>
          <w:szCs w:val="32"/>
        </w:rPr>
      </w:pPr>
      <w:r w:rsidRPr="00823BAD">
        <w:rPr>
          <w:rFonts w:ascii="仿宋_GB2312" w:eastAsia="仿宋_GB2312" w:cs="宋体" w:hint="eastAsia"/>
          <w:color w:val="000000"/>
          <w:kern w:val="0"/>
          <w:sz w:val="32"/>
          <w:szCs w:val="32"/>
        </w:rPr>
        <w:t>根据《招标投标法》第六条，依法必须进行招标的项目，其招标投标活动不受地区或者部门的限制。任何单位和个人不得违法限制或者排斥本地区、本系统以外的法人或者其他组织参加投标，不得以任何方式非法干涉招标投标活动。2020年度采购文件中要求承接机构必须在本市注册，有违该法精神。</w:t>
      </w:r>
    </w:p>
    <w:p w14:paraId="72F111B7" w14:textId="77777777" w:rsidR="00600660" w:rsidRPr="00823BAD" w:rsidRDefault="00600660" w:rsidP="00600660">
      <w:pPr>
        <w:spacing w:line="580" w:lineRule="exact"/>
        <w:ind w:firstLineChars="200" w:firstLine="640"/>
        <w:rPr>
          <w:rFonts w:ascii="仿宋_GB2312" w:eastAsia="仿宋_GB2312" w:cs="仿宋_GB2312"/>
          <w:b/>
          <w:bCs/>
          <w:color w:val="000000"/>
          <w:sz w:val="32"/>
          <w:szCs w:val="32"/>
        </w:rPr>
      </w:pPr>
      <w:r w:rsidRPr="00823BAD">
        <w:rPr>
          <w:rFonts w:ascii="仿宋_GB2312" w:eastAsia="仿宋_GB2312" w:cs="仿宋_GB2312" w:hint="eastAsia"/>
          <w:b/>
          <w:bCs/>
          <w:color w:val="000000"/>
          <w:sz w:val="32"/>
          <w:szCs w:val="32"/>
        </w:rPr>
        <w:t>（二）相关建议</w:t>
      </w:r>
    </w:p>
    <w:p w14:paraId="25419317"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1、提高绩效目标编制质量</w:t>
      </w:r>
    </w:p>
    <w:p w14:paraId="5FB4ABB3"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将绩效目标细化分解为具体的绩效指标，并通过清晰、可衡量的指标值予以体现。绩效目标应与项目目标任务数或计划数相对应。确保数量指标、质量指标和时效指标等的可评价、可衡量、可考核。</w:t>
      </w:r>
    </w:p>
    <w:p w14:paraId="312BE3C5"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2、提高资金投入的合理性</w:t>
      </w:r>
    </w:p>
    <w:p w14:paraId="7BCDCC10"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建议在充分调研、明确需求的基础上测算预算额度，并将项目资金合理分配到三个子项目上。要与县区级民政部门协商确认各自负担的救助物资比例、要明确各社区对社工站的建站需求、要明确第三方培训机构对培训质量的责任，将</w:t>
      </w:r>
      <w:r w:rsidRPr="00823BAD">
        <w:rPr>
          <w:rFonts w:ascii="仿宋_GB2312" w:eastAsia="仿宋_GB2312" w:cs="仿宋_GB2312" w:hint="eastAsia"/>
          <w:color w:val="000000"/>
          <w:sz w:val="32"/>
          <w:szCs w:val="32"/>
        </w:rPr>
        <w:lastRenderedPageBreak/>
        <w:t>考试结果与培训费关联，以确保资金投入合理可靠。</w:t>
      </w:r>
    </w:p>
    <w:p w14:paraId="211A774D"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3、提高项目的规划性</w:t>
      </w:r>
    </w:p>
    <w:p w14:paraId="0F5F979F"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（1）对于社会服务中心项目，要规划好全市有多少社区需要建设服务中心、需要几年内建完、如何确保服务中心的建设和使用符合计划要求等。</w:t>
      </w:r>
    </w:p>
    <w:p w14:paraId="61486FA6"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（2）对于考前培训项目，要规划好每年培训多少社区工作者、目标合格率是多少、持证社区工作者要达到的比率或数量、如何评价第三方培训机构的培训效果等。</w:t>
      </w:r>
    </w:p>
    <w:p w14:paraId="32F018AF"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4、应及时制定完整具体的项目实施方案和管理制度</w:t>
      </w:r>
    </w:p>
    <w:p w14:paraId="3FEFC233"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（1）对于购买救助物资项目，应针对物资的验收流程、拨付各县区的标准、各县区的发放标准、上级民政部门对下级民政部门物资发放的监管以及救助物资的结余管理制定实施方案和管理制度；</w:t>
      </w:r>
    </w:p>
    <w:p w14:paraId="6BF9E316"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（2）对于考前培训项目，应针对供应商的遴选、培训效果和培训过程的管理与验收制定实施方案和管理制度；</w:t>
      </w:r>
    </w:p>
    <w:p w14:paraId="6C89A48C"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（3）对于社会服务中心项目，应根据2022年度印发的实施方案和工作指引，针对服务对象的申报与审核确认流程、服务中心的建设与服务标准等开展工作。</w:t>
      </w:r>
    </w:p>
    <w:p w14:paraId="777A7BE1"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5、提高救助物资的利用效率</w:t>
      </w:r>
    </w:p>
    <w:p w14:paraId="30EF4BAB"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应合理确定各县区救助物资的分配额，对于暂时出放不出去的库存物资应在各县区之间动态调剂，以充分发挥救助物资的作用，避免资金占用或米面油等物资过期作废。</w:t>
      </w:r>
    </w:p>
    <w:p w14:paraId="6736AC5F"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6、强化落实招标、比选等采购流程</w:t>
      </w:r>
    </w:p>
    <w:p w14:paraId="377F9CC4"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应严格执行市民政局内部控制制度的规定，落实执行关</w:t>
      </w:r>
      <w:r w:rsidRPr="00823BAD">
        <w:rPr>
          <w:rFonts w:ascii="仿宋_GB2312" w:eastAsia="仿宋_GB2312" w:cs="仿宋_GB2312" w:hint="eastAsia"/>
          <w:color w:val="000000"/>
          <w:sz w:val="32"/>
          <w:szCs w:val="32"/>
        </w:rPr>
        <w:lastRenderedPageBreak/>
        <w:t>于招标、比选等采购流程，并保存好采购档案，确保采购活动的公开、公正、公平。</w:t>
      </w:r>
    </w:p>
    <w:p w14:paraId="35ADE664"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7、严格执行合同管理的规定</w:t>
      </w:r>
    </w:p>
    <w:p w14:paraId="6B6C6656"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应严格执行市民政局内控制度，合同多于一页的，须在各页加盖骑缝章。</w:t>
      </w:r>
    </w:p>
    <w:p w14:paraId="389EF38B"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8、取消对供应商注册地的不合理限制</w:t>
      </w:r>
    </w:p>
    <w:p w14:paraId="44F1F08A" w14:textId="77777777" w:rsidR="00600660" w:rsidRPr="00823BAD" w:rsidRDefault="00600660" w:rsidP="00600660">
      <w:pPr>
        <w:spacing w:line="580" w:lineRule="exact"/>
        <w:ind w:firstLineChars="200" w:firstLine="640"/>
        <w:rPr>
          <w:rFonts w:ascii="仿宋_GB2312" w:eastAsia="仿宋_GB2312" w:cs="仿宋_GB2312"/>
          <w:color w:val="000000"/>
          <w:sz w:val="32"/>
          <w:szCs w:val="32"/>
        </w:rPr>
      </w:pPr>
      <w:r w:rsidRPr="00823BAD">
        <w:rPr>
          <w:rFonts w:ascii="仿宋_GB2312" w:eastAsia="仿宋_GB2312" w:cs="仿宋_GB2312" w:hint="eastAsia"/>
          <w:color w:val="000000"/>
          <w:sz w:val="32"/>
          <w:szCs w:val="32"/>
        </w:rPr>
        <w:t>根据《招标投标法》第六条，依法必须进行招标的项目，其招标投标活动不受地区或者部门的限制。任何单位和个人不得违法限制或者排斥本地区、本系统以外的法人或者其他组织参加投标，不得以任何方式非法干涉招标投标活动。避免类似2020年度采购文件中要求的承接机构必须在本市注册的条款。</w:t>
      </w:r>
    </w:p>
    <w:p w14:paraId="10A5BE32" w14:textId="77777777" w:rsidR="00112281" w:rsidRPr="00600660" w:rsidRDefault="00112281"/>
    <w:sectPr w:rsidR="00112281" w:rsidRPr="00600660" w:rsidSect="001122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D3B0" w14:textId="77777777" w:rsidR="00016836" w:rsidRDefault="00016836" w:rsidP="005D1754">
      <w:r>
        <w:separator/>
      </w:r>
    </w:p>
  </w:endnote>
  <w:endnote w:type="continuationSeparator" w:id="0">
    <w:p w14:paraId="7A7DF398" w14:textId="77777777" w:rsidR="00016836" w:rsidRDefault="00016836" w:rsidP="005D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12CD" w14:textId="77777777" w:rsidR="00016836" w:rsidRDefault="00016836" w:rsidP="005D1754">
      <w:r>
        <w:separator/>
      </w:r>
    </w:p>
  </w:footnote>
  <w:footnote w:type="continuationSeparator" w:id="0">
    <w:p w14:paraId="20C35E3A" w14:textId="77777777" w:rsidR="00016836" w:rsidRDefault="00016836" w:rsidP="005D1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60"/>
    <w:rsid w:val="00016836"/>
    <w:rsid w:val="00112281"/>
    <w:rsid w:val="005D1754"/>
    <w:rsid w:val="00600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C6F5B"/>
  <w15:docId w15:val="{7CC76E2A-0268-403F-A3B2-994A615B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66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754"/>
    <w:pPr>
      <w:tabs>
        <w:tab w:val="center" w:pos="4153"/>
        <w:tab w:val="right" w:pos="8306"/>
      </w:tabs>
      <w:snapToGrid w:val="0"/>
      <w:jc w:val="center"/>
    </w:pPr>
    <w:rPr>
      <w:sz w:val="18"/>
      <w:szCs w:val="18"/>
    </w:rPr>
  </w:style>
  <w:style w:type="character" w:customStyle="1" w:styleId="a4">
    <w:name w:val="页眉 字符"/>
    <w:basedOn w:val="a0"/>
    <w:link w:val="a3"/>
    <w:uiPriority w:val="99"/>
    <w:rsid w:val="005D1754"/>
    <w:rPr>
      <w:rFonts w:ascii="Calibri" w:eastAsia="宋体" w:hAnsi="Calibri" w:cs="Times New Roman"/>
      <w:sz w:val="18"/>
      <w:szCs w:val="18"/>
    </w:rPr>
  </w:style>
  <w:style w:type="paragraph" w:styleId="a5">
    <w:name w:val="footer"/>
    <w:basedOn w:val="a"/>
    <w:link w:val="a6"/>
    <w:uiPriority w:val="99"/>
    <w:unhideWhenUsed/>
    <w:rsid w:val="005D1754"/>
    <w:pPr>
      <w:tabs>
        <w:tab w:val="center" w:pos="4153"/>
        <w:tab w:val="right" w:pos="8306"/>
      </w:tabs>
      <w:snapToGrid w:val="0"/>
      <w:jc w:val="left"/>
    </w:pPr>
    <w:rPr>
      <w:sz w:val="18"/>
      <w:szCs w:val="18"/>
    </w:rPr>
  </w:style>
  <w:style w:type="character" w:customStyle="1" w:styleId="a6">
    <w:name w:val="页脚 字符"/>
    <w:basedOn w:val="a0"/>
    <w:link w:val="a5"/>
    <w:uiPriority w:val="99"/>
    <w:rsid w:val="005D175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LK LK</cp:lastModifiedBy>
  <cp:revision>2</cp:revision>
  <dcterms:created xsi:type="dcterms:W3CDTF">2023-11-06T04:00:00Z</dcterms:created>
  <dcterms:modified xsi:type="dcterms:W3CDTF">2023-11-06T04:00:00Z</dcterms:modified>
</cp:coreProperties>
</file>