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480" w:lineRule="exact"/>
        <w:jc w:val="center"/>
        <w:textAlignment w:val="auto"/>
        <w:rPr>
          <w:rFonts w:hint="eastAsia" w:asciiTheme="minorEastAsia" w:hAnsiTheme="minorEastAsia"/>
          <w:b/>
          <w:sz w:val="44"/>
          <w:szCs w:val="44"/>
        </w:rPr>
      </w:pPr>
      <w:r>
        <w:rPr>
          <w:rFonts w:hint="eastAsia" w:asciiTheme="minorEastAsia" w:hAnsiTheme="minorEastAsia"/>
          <w:b/>
          <w:sz w:val="44"/>
          <w:szCs w:val="44"/>
        </w:rPr>
        <w:t>秦皇岛市工业国有资产经营有限公司</w:t>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Theme="minorEastAsia" w:hAnsiTheme="minorEastAsia"/>
          <w:b/>
          <w:sz w:val="44"/>
          <w:szCs w:val="44"/>
          <w:lang w:val="en-US" w:eastAsia="zh-CN"/>
        </w:rPr>
      </w:pPr>
      <w:r>
        <w:rPr>
          <w:rFonts w:hint="eastAsia" w:asciiTheme="minorEastAsia" w:hAnsiTheme="minorEastAsia"/>
          <w:b/>
          <w:sz w:val="44"/>
          <w:szCs w:val="44"/>
          <w:lang w:val="en-US" w:eastAsia="zh-CN"/>
        </w:rPr>
        <w:t>信息公开情况报告</w:t>
      </w:r>
    </w:p>
    <w:p>
      <w:pPr>
        <w:keepNext w:val="0"/>
        <w:keepLines w:val="0"/>
        <w:pageBreakBefore w:val="0"/>
        <w:kinsoku/>
        <w:wordWrap/>
        <w:overflowPunct/>
        <w:topLinePunct w:val="0"/>
        <w:autoSpaceDE/>
        <w:autoSpaceDN/>
        <w:bidi w:val="0"/>
        <w:snapToGrid/>
        <w:spacing w:line="480" w:lineRule="exact"/>
        <w:jc w:val="center"/>
        <w:textAlignment w:val="auto"/>
        <w:rPr>
          <w:rFonts w:hint="default" w:asciiTheme="minorEastAsia" w:hAnsiTheme="minorEastAsia" w:eastAsiaTheme="minorEastAsia"/>
          <w:b/>
          <w:sz w:val="44"/>
          <w:szCs w:val="44"/>
          <w:lang w:val="en-US" w:eastAsia="zh-CN"/>
        </w:rPr>
      </w:pPr>
      <w:r>
        <w:rPr>
          <w:rFonts w:hint="eastAsia" w:ascii="仿宋" w:hAnsi="仿宋" w:eastAsia="仿宋"/>
          <w:sz w:val="32"/>
          <w:szCs w:val="32"/>
          <w:lang w:val="en-US" w:eastAsia="zh-CN"/>
        </w:rPr>
        <w:t>（2021年12月）</w:t>
      </w:r>
    </w:p>
    <w:p>
      <w:pPr>
        <w:keepNext w:val="0"/>
        <w:keepLines w:val="0"/>
        <w:pageBreakBefore w:val="0"/>
        <w:kinsoku/>
        <w:wordWrap/>
        <w:overflowPunct/>
        <w:topLinePunct w:val="0"/>
        <w:autoSpaceDE/>
        <w:autoSpaceDN/>
        <w:bidi w:val="0"/>
        <w:snapToGrid/>
        <w:spacing w:line="480" w:lineRule="exact"/>
        <w:textAlignment w:val="auto"/>
        <w:rPr>
          <w:rFonts w:hint="eastAsia" w:ascii="仿宋" w:hAnsi="仿宋" w:eastAsia="仿宋"/>
          <w:sz w:val="32"/>
          <w:szCs w:val="32"/>
        </w:rPr>
      </w:pP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一、基本情况</w:t>
      </w:r>
    </w:p>
    <w:p>
      <w:pPr>
        <w:keepNext w:val="0"/>
        <w:keepLines w:val="0"/>
        <w:pageBreakBefore w:val="0"/>
        <w:numPr>
          <w:ilvl w:val="0"/>
          <w:numId w:val="0"/>
        </w:numPr>
        <w:kinsoku/>
        <w:wordWrap/>
        <w:overflowPunct/>
        <w:topLinePunct w:val="0"/>
        <w:autoSpaceDE/>
        <w:autoSpaceDN/>
        <w:bidi w:val="0"/>
        <w:snapToGrid/>
        <w:spacing w:line="480" w:lineRule="exact"/>
        <w:textAlignment w:val="auto"/>
        <w:rPr>
          <w:rFonts w:hint="default" w:ascii="仿宋" w:hAnsi="仿宋" w:eastAsia="仿宋"/>
          <w:sz w:val="32"/>
          <w:szCs w:val="32"/>
          <w:lang w:val="en-US" w:eastAsia="zh-CN"/>
        </w:rPr>
      </w:pPr>
      <w:r>
        <w:rPr>
          <w:rFonts w:hint="eastAsia" w:ascii="楷体" w:hAnsi="楷体" w:eastAsia="楷体"/>
          <w:b/>
          <w:sz w:val="32"/>
          <w:szCs w:val="32"/>
          <w:lang w:val="en-US" w:eastAsia="zh-CN"/>
        </w:rPr>
        <w:t xml:space="preserve"> </w:t>
      </w:r>
      <w:r>
        <w:rPr>
          <w:rFonts w:hint="eastAsia" w:ascii="华文仿宋" w:hAnsi="华文仿宋" w:eastAsia="华文仿宋" w:cs="华文仿宋"/>
          <w:b/>
          <w:sz w:val="32"/>
          <w:szCs w:val="32"/>
          <w:lang w:val="en-US" w:eastAsia="zh-CN"/>
        </w:rPr>
        <w:t xml:space="preserve">   </w:t>
      </w:r>
      <w:r>
        <w:rPr>
          <w:rFonts w:hint="eastAsia" w:ascii="仿宋" w:hAnsi="仿宋" w:eastAsia="仿宋"/>
          <w:sz w:val="32"/>
          <w:szCs w:val="32"/>
          <w:lang w:val="en-US" w:eastAsia="zh-CN"/>
        </w:rPr>
        <w:t>（一）企业简介</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秦皇岛市工业国有资产经营有限公司系2002年市委、市政府按照省市机构改革方案，撤销了市轻工局、市纺织总会、市机械电子局、市重工业局四个工业系统行政主管机关，分别组建市轻工纺织工业国有资产经营有限公司和机电重工工业国有资产经营有限公司，2006年合并，企业名称为“秦皇岛市工业国有资产经营有限公司”（以下简称</w:t>
      </w:r>
      <w:r>
        <w:rPr>
          <w:rFonts w:hint="eastAsia" w:ascii="仿宋" w:hAnsi="仿宋" w:eastAsia="仿宋"/>
          <w:sz w:val="32"/>
          <w:szCs w:val="32"/>
          <w:lang w:val="en-US" w:eastAsia="zh-CN"/>
        </w:rPr>
        <w:t>市</w:t>
      </w:r>
      <w:r>
        <w:rPr>
          <w:rFonts w:hint="eastAsia" w:ascii="仿宋" w:hAnsi="仿宋" w:eastAsia="仿宋"/>
          <w:sz w:val="32"/>
          <w:szCs w:val="32"/>
        </w:rPr>
        <w:t>工业公司），</w:t>
      </w:r>
      <w:r>
        <w:rPr>
          <w:rFonts w:hint="eastAsia" w:ascii="仿宋" w:hAnsi="仿宋" w:eastAsia="仿宋"/>
          <w:sz w:val="32"/>
          <w:szCs w:val="32"/>
          <w:lang w:val="en-US" w:eastAsia="zh-CN"/>
        </w:rPr>
        <w:t>属于</w:t>
      </w:r>
      <w:r>
        <w:rPr>
          <w:rFonts w:hint="eastAsia" w:ascii="仿宋" w:hAnsi="仿宋" w:eastAsia="仿宋"/>
          <w:sz w:val="32"/>
          <w:szCs w:val="32"/>
        </w:rPr>
        <w:t>国有独资</w:t>
      </w:r>
      <w:r>
        <w:rPr>
          <w:rFonts w:hint="eastAsia" w:ascii="仿宋" w:hAnsi="仿宋" w:eastAsia="仿宋"/>
          <w:sz w:val="32"/>
          <w:szCs w:val="32"/>
          <w:lang w:val="en-US" w:eastAsia="zh-CN"/>
        </w:rPr>
        <w:t>企业</w:t>
      </w:r>
      <w:r>
        <w:rPr>
          <w:rFonts w:hint="eastAsia" w:ascii="仿宋" w:hAnsi="仿宋" w:eastAsia="仿宋"/>
          <w:sz w:val="32"/>
          <w:szCs w:val="32"/>
          <w:lang w:eastAsia="zh-CN"/>
        </w:rPr>
        <w:t>，</w:t>
      </w:r>
      <w:r>
        <w:rPr>
          <w:rFonts w:ascii="仿宋" w:hAnsi="仿宋" w:eastAsia="仿宋"/>
          <w:sz w:val="32"/>
          <w:szCs w:val="32"/>
        </w:rPr>
        <w:t>决策机构为董事会。2017年</w:t>
      </w:r>
      <w:r>
        <w:rPr>
          <w:rFonts w:hint="eastAsia" w:ascii="仿宋" w:hAnsi="仿宋" w:eastAsia="仿宋"/>
          <w:sz w:val="32"/>
          <w:szCs w:val="32"/>
        </w:rPr>
        <w:t>5</w:t>
      </w:r>
      <w:r>
        <w:rPr>
          <w:rFonts w:ascii="仿宋" w:hAnsi="仿宋" w:eastAsia="仿宋"/>
          <w:sz w:val="32"/>
          <w:szCs w:val="32"/>
        </w:rPr>
        <w:t>月划归市国资委管理。</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市工业公司</w:t>
      </w:r>
      <w:r>
        <w:rPr>
          <w:rFonts w:hint="eastAsia" w:ascii="仿宋" w:hAnsi="仿宋" w:eastAsia="仿宋"/>
          <w:sz w:val="32"/>
          <w:szCs w:val="32"/>
        </w:rPr>
        <w:t>所属国有企业共98家， 2010年已经基本完成企业改制工作，分流安置职工4万多人，解决了市属改制企业陈旧的债务负担,通过土地收储挂牌出让及房产设备拍卖等方式，实现了大量的国有资产收益并全部上缴了财政。</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（二）工商注册信息</w:t>
      </w:r>
    </w:p>
    <w:p>
      <w:pPr>
        <w:keepNext w:val="0"/>
        <w:keepLines w:val="0"/>
        <w:pageBreakBefore w:val="0"/>
        <w:kinsoku/>
        <w:wordWrap/>
        <w:overflowPunct/>
        <w:topLinePunct w:val="0"/>
        <w:autoSpaceDE/>
        <w:autoSpaceDN/>
        <w:bidi w:val="0"/>
        <w:snapToGrid/>
        <w:spacing w:line="480" w:lineRule="exact"/>
        <w:ind w:firstLine="63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市工业公司注册地位于</w:t>
      </w:r>
      <w:r>
        <w:rPr>
          <w:rFonts w:hint="eastAsia" w:ascii="仿宋" w:hAnsi="仿宋" w:eastAsia="仿宋"/>
          <w:sz w:val="32"/>
          <w:szCs w:val="32"/>
        </w:rPr>
        <w:t>秦皇岛市海港区红旗路27号</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snapToGrid/>
        <w:spacing w:line="480" w:lineRule="exact"/>
        <w:ind w:firstLine="630"/>
        <w:textAlignment w:val="auto"/>
        <w:rPr>
          <w:rFonts w:ascii="仿宋" w:hAnsi="仿宋" w:eastAsia="仿宋"/>
          <w:sz w:val="32"/>
          <w:szCs w:val="32"/>
        </w:rPr>
      </w:pPr>
      <w:r>
        <w:rPr>
          <w:rFonts w:hint="eastAsia" w:ascii="仿宋" w:hAnsi="仿宋" w:eastAsia="仿宋"/>
          <w:sz w:val="32"/>
          <w:szCs w:val="32"/>
        </w:rPr>
        <w:t>注册资本人民币10000万元。出资人秦皇岛市人民政府国有资产监督管理委员会。经营范围：对授权范围内的工业国有资产进行经营和管理</w:t>
      </w:r>
      <w:r>
        <w:rPr>
          <w:rFonts w:hint="eastAsia" w:ascii="仿宋" w:hAnsi="仿宋" w:eastAsia="仿宋"/>
          <w:sz w:val="32"/>
          <w:szCs w:val="32"/>
          <w:lang w:val="en-US" w:eastAsia="zh-CN"/>
        </w:rPr>
        <w:t>；</w:t>
      </w:r>
      <w:r>
        <w:rPr>
          <w:rFonts w:hint="eastAsia" w:ascii="仿宋" w:hAnsi="仿宋" w:eastAsia="仿宋"/>
          <w:sz w:val="32"/>
          <w:szCs w:val="32"/>
        </w:rPr>
        <w:t>房屋租赁。主要职能：一是对未完成改制国有企业进行改制和监管；二是协调处理国企改制遗留问题及其因改制引发的新情况、新矛盾，负责改制后企业的信访稳定工作；三是对改制企业剩余资产进行监管及运营；四是负责改制破产企业无托管主体的80多名离休干部和离休干部遗属以及1万余名退养、退休职工生活费的发放以及社会保险的缴纳、500多名转业军人的政策待遇落实及服务（托管离休干部人数占市区总数的三分之一）；五是对39个破产企业家属区进行管理服务，确保职工队伍和社会稳定。</w:t>
      </w: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二、组织体系</w:t>
      </w:r>
    </w:p>
    <w:p>
      <w:pPr>
        <w:keepNext w:val="0"/>
        <w:keepLines w:val="0"/>
        <w:pageBreakBefore w:val="0"/>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（一）企业领导</w:t>
      </w:r>
    </w:p>
    <w:tbl>
      <w:tblPr>
        <w:tblStyle w:val="6"/>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22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姓名</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职    务</w:t>
            </w:r>
          </w:p>
        </w:tc>
        <w:tc>
          <w:tcPr>
            <w:tcW w:w="457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分管工作及部室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both"/>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王宝宏</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both"/>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公司党委书记、董事长</w:t>
            </w:r>
          </w:p>
        </w:tc>
        <w:tc>
          <w:tcPr>
            <w:tcW w:w="4575" w:type="dxa"/>
            <w:vAlign w:val="center"/>
          </w:tcPr>
          <w:p>
            <w:pPr>
              <w:keepNext w:val="0"/>
              <w:keepLines w:val="0"/>
              <w:pageBreakBefore w:val="0"/>
              <w:kinsoku/>
              <w:wordWrap/>
              <w:overflowPunct/>
              <w:topLinePunct w:val="0"/>
              <w:autoSpaceDE/>
              <w:autoSpaceDN/>
              <w:bidi w:val="0"/>
              <w:snapToGrid/>
              <w:spacing w:line="48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主持市工业公司党委和董事会全面工作，分管纪检、党群部。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刘彦君</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公司党委副书记、总经理</w:t>
            </w:r>
          </w:p>
        </w:tc>
        <w:tc>
          <w:tcPr>
            <w:tcW w:w="4575" w:type="dxa"/>
            <w:vAlign w:val="center"/>
          </w:tcPr>
          <w:p>
            <w:pPr>
              <w:keepNext w:val="0"/>
              <w:keepLines w:val="0"/>
              <w:pageBreakBefore w:val="0"/>
              <w:kinsoku/>
              <w:wordWrap/>
              <w:overflowPunct/>
              <w:topLinePunct w:val="0"/>
              <w:autoSpaceDE/>
              <w:autoSpaceDN/>
              <w:bidi w:val="0"/>
              <w:snapToGrid/>
              <w:spacing w:line="480" w:lineRule="exact"/>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rPr>
              <w:t>主持市工业公司行政经营管理全面工作，</w:t>
            </w:r>
            <w:r>
              <w:rPr>
                <w:rFonts w:hint="eastAsia" w:ascii="仿宋" w:hAnsi="仿宋" w:eastAsia="仿宋" w:cs="仿宋"/>
                <w:sz w:val="24"/>
                <w:szCs w:val="24"/>
                <w:lang w:val="en-US" w:eastAsia="zh-CN"/>
              </w:rPr>
              <w:t>负责资产管理、资产运营，分管综合办公室、资产监管运营部。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陈鹰</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公司党委委员、副总经理</w:t>
            </w:r>
          </w:p>
        </w:tc>
        <w:tc>
          <w:tcPr>
            <w:tcW w:w="4575" w:type="dxa"/>
            <w:vAlign w:val="center"/>
          </w:tcPr>
          <w:p>
            <w:pPr>
              <w:keepNext w:val="0"/>
              <w:keepLines w:val="0"/>
              <w:pageBreakBefore w:val="0"/>
              <w:kinsoku/>
              <w:wordWrap/>
              <w:overflowPunct/>
              <w:topLinePunct w:val="0"/>
              <w:autoSpaceDE/>
              <w:autoSpaceDN/>
              <w:bidi w:val="0"/>
              <w:adjustRightInd w:val="0"/>
              <w:snapToGrid/>
              <w:spacing w:line="4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协助党委书记抓好党建、党风廉政建设工作。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郝雅民</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公司党委委员、副总经理</w:t>
            </w:r>
          </w:p>
        </w:tc>
        <w:tc>
          <w:tcPr>
            <w:tcW w:w="4575" w:type="dxa"/>
            <w:vAlign w:val="center"/>
          </w:tcPr>
          <w:p>
            <w:pPr>
              <w:keepNext w:val="0"/>
              <w:keepLines w:val="0"/>
              <w:pageBreakBefore w:val="0"/>
              <w:kinsoku/>
              <w:wordWrap/>
              <w:overflowPunct/>
              <w:topLinePunct w:val="0"/>
              <w:autoSpaceDE/>
              <w:autoSpaceDN/>
              <w:bidi w:val="0"/>
              <w:adjustRightInd w:val="0"/>
              <w:snapToGrid/>
              <w:spacing w:line="48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负责人力资源和社会保障、离退休干部管理、服务，分管离休干部和人力资源部。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包放</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公司党委委员、副总经理</w:t>
            </w:r>
          </w:p>
        </w:tc>
        <w:tc>
          <w:tcPr>
            <w:tcW w:w="4575" w:type="dxa"/>
            <w:vAlign w:val="center"/>
          </w:tcPr>
          <w:p>
            <w:pPr>
              <w:keepNext w:val="0"/>
              <w:keepLines w:val="0"/>
              <w:pageBreakBefore w:val="0"/>
              <w:kinsoku/>
              <w:wordWrap/>
              <w:overflowPunct/>
              <w:topLinePunct w:val="0"/>
              <w:autoSpaceDE/>
              <w:autoSpaceDN/>
              <w:bidi w:val="0"/>
              <w:snapToGrid/>
              <w:spacing w:line="4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负责企业改革与遗留问题处理，信访稳定、安全生产、应急处突；改制企业职工托管与服务、改制企业留守善后等方面的工作，分管信访</w:t>
            </w:r>
            <w:r>
              <w:rPr>
                <w:rFonts w:hint="eastAsia" w:ascii="仿宋" w:hAnsi="仿宋" w:eastAsia="仿宋" w:cs="仿宋"/>
                <w:sz w:val="24"/>
                <w:szCs w:val="24"/>
                <w:lang w:val="en-US" w:eastAsia="zh-CN"/>
              </w:rPr>
              <w:t>维稳</w:t>
            </w:r>
            <w:r>
              <w:rPr>
                <w:rFonts w:hint="eastAsia" w:ascii="仿宋" w:hAnsi="仿宋" w:eastAsia="仿宋" w:cs="仿宋"/>
                <w:sz w:val="24"/>
                <w:szCs w:val="24"/>
              </w:rPr>
              <w:t>办公室、职工服务中心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耀华留守处、柳江煤矿留守处</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刘正莉</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公司党委委员、总会计师</w:t>
            </w:r>
          </w:p>
        </w:tc>
        <w:tc>
          <w:tcPr>
            <w:tcW w:w="4575" w:type="dxa"/>
            <w:vAlign w:val="center"/>
          </w:tcPr>
          <w:p>
            <w:pPr>
              <w:keepNext w:val="0"/>
              <w:keepLines w:val="0"/>
              <w:pageBreakBefore w:val="0"/>
              <w:kinsoku/>
              <w:wordWrap/>
              <w:overflowPunct/>
              <w:topLinePunct w:val="0"/>
              <w:autoSpaceDE/>
              <w:autoSpaceDN/>
              <w:bidi w:val="0"/>
              <w:snapToGrid/>
              <w:spacing w:line="48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负</w:t>
            </w:r>
            <w:r>
              <w:rPr>
                <w:rFonts w:hint="eastAsia" w:ascii="仿宋" w:hAnsi="仿宋" w:eastAsia="仿宋" w:cs="仿宋"/>
                <w:sz w:val="24"/>
                <w:szCs w:val="24"/>
              </w:rPr>
              <w:t>责财务融资管理、预算和成本管理、统计分析、二级单位财务监督；企业改制战略规划、企业文化与产业结构调整研究、市场研究预测策划、所属企业目标、业绩考核等方面的工作，分管财务融资部、企业改革与规划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方向明</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公司监事会主席</w:t>
            </w:r>
          </w:p>
        </w:tc>
        <w:tc>
          <w:tcPr>
            <w:tcW w:w="4575" w:type="dxa"/>
            <w:vAlign w:val="center"/>
          </w:tcPr>
          <w:p>
            <w:pPr>
              <w:keepNext w:val="0"/>
              <w:keepLines w:val="0"/>
              <w:pageBreakBefore w:val="0"/>
              <w:kinsoku/>
              <w:wordWrap/>
              <w:overflowPunct/>
              <w:topLinePunct w:val="0"/>
              <w:autoSpaceDE/>
              <w:autoSpaceDN/>
              <w:bidi w:val="0"/>
              <w:snapToGrid/>
              <w:spacing w:line="48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bl>
    <w:p>
      <w:pPr>
        <w:keepNext w:val="0"/>
        <w:keepLines w:val="0"/>
        <w:pageBreakBefore w:val="0"/>
        <w:kinsoku/>
        <w:wordWrap/>
        <w:overflowPunct/>
        <w:topLinePunct w:val="0"/>
        <w:autoSpaceDE/>
        <w:autoSpaceDN/>
        <w:bidi w:val="0"/>
        <w:adjustRightInd w:val="0"/>
        <w:snapToGrid/>
        <w:spacing w:line="48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（二）组织架构</w:t>
      </w:r>
    </w:p>
    <w:p>
      <w:pPr>
        <w:keepNext w:val="0"/>
        <w:keepLines w:val="0"/>
        <w:pageBreakBefore w:val="0"/>
        <w:kinsoku/>
        <w:wordWrap/>
        <w:overflowPunct/>
        <w:topLinePunct w:val="0"/>
        <w:autoSpaceDE/>
        <w:autoSpaceDN/>
        <w:bidi w:val="0"/>
        <w:adjustRightInd w:val="0"/>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公司党委会</w:t>
      </w:r>
      <w:r>
        <w:rPr>
          <w:rFonts w:hint="eastAsia" w:ascii="仿宋" w:hAnsi="仿宋" w:eastAsia="仿宋"/>
          <w:sz w:val="32"/>
          <w:szCs w:val="32"/>
        </w:rPr>
        <w:t>、董事会及经理层建设情况。公司不设股东会，由市国资委依法对公司行使其出资人职权。公司依法设董事会，由3名董事组成，其中董事长1名：王宝宏；董事2名：刘彦君、包放。公司经理层设总经理1名：刘彦君；副总经理3名:陈鹰、郝雅民、包放;总会计师1名:刘正莉。公司未成立纪委，设纪检办公室，纪检副书记1名：韩天野。</w:t>
      </w:r>
    </w:p>
    <w:p>
      <w:pPr>
        <w:keepNext w:val="0"/>
        <w:keepLines w:val="0"/>
        <w:pageBreakBefore w:val="0"/>
        <w:kinsoku/>
        <w:wordWrap/>
        <w:overflowPunct/>
        <w:topLinePunct w:val="0"/>
        <w:autoSpaceDE/>
        <w:autoSpaceDN/>
        <w:bidi w:val="0"/>
        <w:adjustRightInd w:val="0"/>
        <w:snapToGrid/>
        <w:spacing w:line="480" w:lineRule="exac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公司设监事会，监事会主席1名：方向明。职工监事2名：吴凡、梁晨。</w:t>
      </w:r>
    </w:p>
    <w:p>
      <w:pPr>
        <w:keepNext w:val="0"/>
        <w:keepLines w:val="0"/>
        <w:pageBreakBefore w:val="0"/>
        <w:numPr>
          <w:ilvl w:val="0"/>
          <w:numId w:val="1"/>
        </w:numPr>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内设机构</w:t>
      </w:r>
      <w:r>
        <w:rPr>
          <w:rFonts w:hint="eastAsia" w:ascii="仿宋" w:hAnsi="仿宋" w:eastAsia="仿宋"/>
          <w:sz w:val="32"/>
          <w:szCs w:val="32"/>
          <w:lang w:val="en-US" w:eastAsia="zh-CN"/>
        </w:rPr>
        <w:t>及部室职责</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公司下设9个职能部室：纪检办公室、党</w:t>
      </w:r>
      <w:r>
        <w:rPr>
          <w:rFonts w:hint="eastAsia" w:ascii="仿宋" w:hAnsi="仿宋" w:eastAsia="仿宋"/>
          <w:sz w:val="32"/>
          <w:szCs w:val="32"/>
          <w:lang w:val="en-US" w:eastAsia="zh-CN"/>
        </w:rPr>
        <w:t>群工作部</w:t>
      </w:r>
      <w:r>
        <w:rPr>
          <w:rFonts w:hint="eastAsia" w:ascii="仿宋" w:hAnsi="仿宋" w:eastAsia="仿宋"/>
          <w:sz w:val="32"/>
          <w:szCs w:val="32"/>
        </w:rPr>
        <w:t>、综合办公室、资产监管运营部、企业改革与规划发展部、离休干部和</w:t>
      </w:r>
      <w:r>
        <w:rPr>
          <w:rFonts w:hint="eastAsia" w:ascii="仿宋" w:hAnsi="仿宋" w:eastAsia="仿宋"/>
          <w:sz w:val="32"/>
          <w:szCs w:val="32"/>
          <w:lang w:val="en-US" w:eastAsia="zh-CN"/>
        </w:rPr>
        <w:t>人力资源</w:t>
      </w:r>
      <w:r>
        <w:rPr>
          <w:rFonts w:hint="eastAsia" w:ascii="仿宋" w:hAnsi="仿宋" w:eastAsia="仿宋"/>
          <w:sz w:val="32"/>
          <w:szCs w:val="32"/>
        </w:rPr>
        <w:t>部、信访维稳办公室、职工服务中心、财务融资部。</w:t>
      </w:r>
      <w:r>
        <w:rPr>
          <w:rFonts w:hint="eastAsia" w:ascii="仿宋" w:hAnsi="仿宋" w:eastAsia="仿宋"/>
          <w:sz w:val="32"/>
          <w:szCs w:val="32"/>
          <w:lang w:val="en-US" w:eastAsia="zh-CN"/>
        </w:rPr>
        <w:t>其工作职责：</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党群工作部：负责系统内党的组织建设、精神文明建设、思想政治与统一战线工作；负责公司党委会承办工作；负责基层领导班子建设和管理考核工作；负责系统内维护稳定和社会治安综合治理；承担系统内党风廉政建设和反腐败工作的组织协调及日常工作；负责企业文化建设、对外宣传和新闻工作；负责建立完善选人、用人机制；指导推动干部培训和人才队伍建设；指导和协调工会、共青团、妇委会等群众组织工作。</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纪委：负责指导所属企业的效能监察工作；按照管理权限，检查、处理所属企业党组织、党员、工作部门和人员的检举、控告和申诉以及违反党纪、政纪的重要案件；监管所属企业及领导人员遵纪守法和廉洁自律情况；起草、制定有关效能监察和廉政建设的规章制度。</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综合办公室：负责公司机关的日常运转工作，负责行政、文秘、机要、保密、文书档案、公车管理、后勤保障、安全保卫工作；承办党政联席会议、董事会和总经理办公会会议各项工作；负责公司行政综合性文件和主要负责同志的文稿起草工作；负责领导交办事项和重要工作的督办；负责公司电子政务及信息化建设工作；负责组织汇总公司有关规章制度，负责内部规范性文件审核；研究国有企业改革和发展中的有关法律问题，负责法制宣传教育工作，承办公司法律事务。</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 xml:space="preserve">资产监管运营部：承担公司资产的统计、监督管理及有效盘活工作，维护国有资产出资人的权益；负责研究提出公司系统内国有资产产权管理及处置的意见和建议；负责建立和完善国有资产保值增值指标体系，拟订考核标准；依法依规做好公司系统国有资产产权界定、登记、划转、处置及产权纠纷调处等方面的具体工作；对改制企业职工安置费抵押资产及股权转让等进行监管。 </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财务融资部：负责拟订公司系统国有资本经营预算与财务监督的制度和管理办法；负责公司日常财务核算及公司年度财务预决算工作；负责公司系统财务档案管理工作；承担指导所属企业清产核资和资产损失核销工作；负责组织公司机关财务会计人员的培训工作；负责对所属企业及留守处年度财务审计工作；负责公司范围内资金拨付使用情况的监督管理；负责国有资本投资的跟踪管理和效益分析；负责公司项目融资相关工作。</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 xml:space="preserve">企业改革与规划发展部：负责推进公司系统企业改制及改制企业的档案管理工作；协调解决企业改制中存在的主要问题；完善公司治理结构；负责研究制定企业发展规划；负责企业资产整合、投融资等重大经营活动组织风险评估并实施监管；搜集、分析各行业发展信息和重点行业发展趋势。 </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离休干部和人力资源部：负责公司离退休干部和职工的管理和服务工作；综合管理公司离退休干部和职工的党务、人事、工资、档案等工作；负责建立健全统一规范的人力资源结构；按规定建立完善收入分配制度，拟定薪酬制度和激励方式；承担专业技术人员队伍建设和技能人才队伍建设以及职改的职责；履行社会保障制度和政策体系的落实职责；按照管理权限，负责机关中层正职及以下人员的档案管理工作。</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职工服务中心：负责托管企业和职工的管理和服务；负责统筹管理企业复转军人及退役士兵政策落实工作；承担协调处理所属企业改制后遗留问题职责；负责对改制后企业未出售公有住房等相关资产进行全程跟踪、审核、报批备案、建档；配合有关部门做好改制企业职工住宅区“三供一业”工作；负责指导国有企业改制职工分流安置方案的制定与实施有关工作；负责改制企业留守处和工作人员的管理；承担公司机关和所属企业安全生产及应急处突等工作职责。</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信访维稳办：按照信访条例，规范协调和处理公司系统职工群众来信来访工作；负责协调所属企业在防范和处理邪教问题方面的工作；承办市长公开电话等上级交办事项的回复工作；协调督导系统内企业维稳任务及改制政策的落实工作；负责做好预防突发事件和群体事件发生工作；妥善处理好各类信访案件，维护稳定。</w:t>
      </w:r>
    </w:p>
    <w:p>
      <w:pPr>
        <w:keepNext w:val="0"/>
        <w:keepLines w:val="0"/>
        <w:pageBreakBefore w:val="0"/>
        <w:numPr>
          <w:ilvl w:val="0"/>
          <w:numId w:val="2"/>
        </w:numPr>
        <w:kinsoku/>
        <w:wordWrap/>
        <w:overflowPunct/>
        <w:topLinePunct w:val="0"/>
        <w:autoSpaceDE/>
        <w:autoSpaceDN/>
        <w:bidi w:val="0"/>
        <w:snapToGrid/>
        <w:spacing w:line="48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rPr>
        <w:t>经营状况</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(一）</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年度工作总结</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 xml:space="preserve">2021年，公司党委及行政班子按照市国资委党委的工作部署，紧密结合年度工作考核目标，全面落实两个“主体责任”，落实全面从严治党主体责任，牢牢把握意识形态工作主动权，充分发挥基层党组织引领作用，积极推进公司各项重点工作，努力维护系统内职工队伍稳定和社会安全，较好地完成了各项任务。 </w:t>
      </w: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rPr>
        <w:t>落实两个“主体责任”，充分发挥基层党组织引领作用。</w:t>
      </w:r>
      <w:r>
        <w:rPr>
          <w:rFonts w:hint="eastAsia" w:ascii="仿宋" w:hAnsi="仿宋" w:eastAsia="仿宋"/>
          <w:sz w:val="32"/>
          <w:szCs w:val="32"/>
          <w:lang w:val="en-US" w:eastAsia="zh-CN"/>
        </w:rPr>
        <w:t>不断加强党史学习教育，坚持学习常态化。以党一百周年华诞为契机，将党史学习教育作为一项政治任务贯穿党建工作始终，开展“学习新思想、三员走基层”领导干部讲党课活动，共组织开展4轮20人次宣讲。充分利用我市红色教育资源，学习历史追寻红色记忆，组织全体党员干部参观花场峪抗日纪念馆和烈士陵园；组织红色观影活动，先后观看《谷子地》《悬崖之上》《1921》等红色影片，增强党员干部的爱国主义情操，不断提升党性修养；组织红色家书诗歌朗诵比赛、学习强国读书笔记展示等活动，大大激发党员干部职工的学习热情和提升综合素质。以走访慰问为载体，积极开展送学上门。为离休干部送去《中国共产党简史》、天猫精灵学习工具和春节慰问信等相关资料400余件份，为51位老干部发放了光荣在党50年纪念章。推动</w:t>
      </w:r>
      <w:r>
        <w:rPr>
          <w:rFonts w:hint="default" w:ascii="仿宋" w:hAnsi="仿宋" w:eastAsia="仿宋"/>
          <w:sz w:val="32"/>
          <w:szCs w:val="32"/>
          <w:lang w:val="en" w:eastAsia="zh-CN"/>
        </w:rPr>
        <w:t>党史学习教育</w:t>
      </w:r>
      <w:r>
        <w:rPr>
          <w:rFonts w:hint="eastAsia" w:ascii="仿宋" w:hAnsi="仿宋" w:eastAsia="仿宋"/>
          <w:sz w:val="32"/>
          <w:szCs w:val="32"/>
          <w:lang w:val="en-US" w:eastAsia="zh-CN"/>
        </w:rPr>
        <w:t>落实。认真落实市委老干部局部署的“晒晒我的红色印记”活动，妥善安排离休干部赵光寿同志为市委组织部、老干部局、青少年活动中心等多家单位现场讲传战斗经历和革命历史。孙昌河、赵光寿等老革命多次受到省市领导看望和新闻媒体采录宣传，彰显了我公司党委“</w:t>
      </w:r>
      <w:r>
        <w:rPr>
          <w:rFonts w:hint="default" w:ascii="仿宋" w:hAnsi="仿宋" w:eastAsia="仿宋"/>
          <w:sz w:val="32"/>
          <w:szCs w:val="32"/>
          <w:lang w:val="en" w:eastAsia="zh-CN"/>
        </w:rPr>
        <w:t>党史学习教育</w:t>
      </w:r>
      <w:r>
        <w:rPr>
          <w:rFonts w:hint="eastAsia" w:ascii="仿宋" w:hAnsi="仿宋" w:eastAsia="仿宋"/>
          <w:sz w:val="32"/>
          <w:szCs w:val="32"/>
          <w:lang w:val="en-US" w:eastAsia="zh-CN"/>
        </w:rPr>
        <w:t>”的丰硕成果！</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坚持精准施策，助力脱贫攻坚。28名干部职工与青龙县土门子镇东蒿村26名贫困户结对子，定期到家中走访探望，及时掌握基本情况，送去米面油等生活必需品，为青龙县土门子镇东蒿村小学捐赠价值8000元的图书和学习用品。</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牢牢把握意识形态工作主动权，落实全面从严治党主体责任。</w:t>
      </w:r>
      <w:bookmarkStart w:id="0" w:name="_GoBack"/>
      <w:bookmarkEnd w:id="0"/>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加强意识形态工作，筑牢思想防线。一是注重建立意识形态工作责任制。公司党委强化责任落实，充分学习贯彻中央、省委、市委、市国资委党委意识形态工作相关文件及重要部署。二是严格落实党委会第一议题学习制度，党委中心组学习制度， 三是注重加强舆论宣传引导。制定学习强国考核制度，使公司机关党员参与率100%，加强网上工作群及舆情的监督管理，加强网上正面思想舆论宣传，确保网上舆论平稳健康。</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坚定不移</w:t>
      </w:r>
      <w:r>
        <w:rPr>
          <w:rFonts w:hint="eastAsia" w:ascii="仿宋" w:hAnsi="仿宋" w:eastAsia="仿宋"/>
          <w:sz w:val="32"/>
          <w:szCs w:val="32"/>
          <w:lang w:eastAsia="zh-CN"/>
        </w:rPr>
        <w:t>全面</w:t>
      </w:r>
      <w:r>
        <w:rPr>
          <w:rFonts w:hint="eastAsia" w:ascii="仿宋" w:hAnsi="仿宋" w:eastAsia="仿宋"/>
          <w:sz w:val="32"/>
          <w:szCs w:val="32"/>
        </w:rPr>
        <w:t>从严治党向纵深发展。深入开展党的基本理论教育、宗旨教育、警示教育和党纪政纪条规教育，把政治建设摆在首位。按照市纪委对党风廉政建设和反腐败工作的新要求，结合公司实际，扎实有效地开展党风廉政建设和反腐倡廉工作。</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积极有效推进企业改制及善后工作，不断加强改制后企业监管力度。</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积极推进奥莱特破产清算后续工作。按照法院的破产终结裁定，加快推进终结审计前的各项工作。一是敏感债权已基本清偿完毕，资产处置等相关资料已顺利移交；二是与市城发集团沟通协调，积极配合解决因税款争议、手续不健全等原因, 导致腈纶厂过户手续办理不顺畅等问题，目前已完成码头过户手续，土地过户正在办理中。三是着手办理企业的工商、税务的注销手续，四是做好终结审计准备工作，解散破产清算工作组。</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稳步推动长荣腈纶绒线有限公司强制清算工作。完成了对长荣公司申请制清算的申报材料并上报法院。法院已下达长荣公司强制清算裁定书，目前正抓紧测算职工拖欠及安置费用，待清算组审核后，起草清算报告提交债权人会议审核，清算工作已按程序推进，力争年底前完成清算程序。积极协调法院、工商、公安等有关部门，推进燕玻厂破产清算工作。法院已下达宣告破产裁定书、指定管理人决定书。目前清算工作正按程序进行，但由于该企业改制时间较长，人员更替严重，账册丢失等原因致使企业资产负债情况无法查实，企业破产清算障碍性因素较多，进度将会受到较大影响。</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强化监管力度和服务意识，妥善处理改制遗留问题。公司一直秉承服务意识，努力做好改制企业的服务工作，支持企业不断壮大发展。在股权变更、资产转让等方面加强监管，确保职工安置费用及职工利益落到实处。对国资委近期划转的12家耀华辅业改制后企业进行有效监管，及时摸清企业情况及存在问题。为确保职工工资、保险费用发放等权益不受损害，对相关企业做资产抵押要求。对山化纤一分厂土地资产遗留问题处置、市煤矿机械厂原法人冯军智在税务部门被列入非正常户法人，对耀华运输有限责任公司原解除合同人员（共涉及40人）的解除合同补偿金及利息测算等企业遗留问题专项研究，积极解决。</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推进所属企业公司制改革工作。为积极落实市企改办下达的47家企业注销任务，公司迅速集结，全力推进，并提出“四个第一”工作原则，即：第一时间沟通企业、第一时间沉入一线、第一时间找准症结、第一时间成果反馈。截</w:t>
      </w:r>
      <w:r>
        <w:rPr>
          <w:rFonts w:hint="eastAsia" w:ascii="仿宋" w:hAnsi="仿宋" w:eastAsia="仿宋"/>
          <w:sz w:val="32"/>
          <w:szCs w:val="32"/>
          <w:lang w:eastAsia="zh-CN"/>
        </w:rPr>
        <w:t>至</w:t>
      </w:r>
      <w:r>
        <w:rPr>
          <w:rFonts w:hint="eastAsia" w:ascii="仿宋" w:hAnsi="仿宋" w:eastAsia="仿宋"/>
          <w:sz w:val="32"/>
          <w:szCs w:val="32"/>
        </w:rPr>
        <w:t>目前，15家企业注销已办结，另敦促协助耀华集团工作人员办理其5家下属企业的注销工作。</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着力解决企业职工最为关注的问题。一是测算耀华运输有限责任公司原解除合同40余人的解除合同补偿金及利息共计20.5万，并由秦皇岛市国有房地产开发有限公司先行垫付，待市国土部门对运输公司土地进行收储时，用其返还收储成本资金清偿。二是与区法院、市工伤保险处数次协调沟通，耀华运输公司职工王新江经济补偿金一案已圆满解决。三是协助中包造纸公司债权人雨田房地产公司等办理清偿敏感债务手续。四是依据城镇职工医保改革实施方案，积极与市医保局沟通，反馈山啤酒退休职工补缴医保欠缴诉求。五是协助耀华制衣公司完成其公司占有土地及地上建筑物的置换拆迁补偿工作。六是积极协助办理原耀华职工张立勇的海港区燕阳里小区11-4-38号房产产权手续。七是完成“三供一业”分离移交情况的全面梳理，对监管企业职工供水、供电、供暖和尚未进行“一户一表”维修改造摸排工作已完成，共计维修改造费用预算金额17874800元，下步还需在国资委的统筹协调安排下，积极推进。</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加大国有资产监管处置力度，规范监督管理制度。</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在国有资产监管处置方面，公司坚持依法依规，注重建章立制，保持国有资产保值增值。近年来，公司完成了系统内国有资产清查整理工作，对公司直属资产及企业留守处资产进行有效盘活利用。采取法拍方式，将债权包中龙福特资产有效进行整理，目前正进行资产整体改造提升工程。通过努力，完成金龙源股权转让款及滞纳金催缴及山海关新华市场门市房</w:t>
      </w:r>
      <w:r>
        <w:rPr>
          <w:rFonts w:hint="eastAsia" w:ascii="仿宋" w:hAnsi="仿宋" w:eastAsia="仿宋"/>
          <w:sz w:val="32"/>
          <w:szCs w:val="32"/>
          <w:lang w:eastAsia="zh-CN"/>
        </w:rPr>
        <w:t>拆迁</w:t>
      </w:r>
      <w:r>
        <w:rPr>
          <w:rFonts w:hint="eastAsia" w:ascii="仿宋" w:hAnsi="仿宋" w:eastAsia="仿宋"/>
          <w:sz w:val="32"/>
          <w:szCs w:val="32"/>
        </w:rPr>
        <w:t>补偿款催收工作。中国核工作秦皇岛长城有限公司股权转让款本金及滞纳金合计971.78万元已全部偿还，使长达17年的股权清理完毕。山海关兴华市场门市房拆迁安置补偿合同纠纷，按照执行裁定，海晨地产应支付176万元，目前已支付40万元，该公司承诺今年年底将剩余未项全部偿还。</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继续加强债权包清理，推进债权包中有效资产的处置回收工作。对债权包中梳理出确有回收可能性12家企业委托法律团队进行清收。目前2家企业有一定进展。野生动物园欠我公司两笔债权（本息合计1117.4万元），我公司提出对野生动物园变更申请执行人的申请，目前市中院已受理，就其偿还方式国资委已向政府进行了专题汇报。已向秦皇岛海港燃料总公司河东分公司发出律师函追缴债权，并已立案待审。目前该公司仍处于存续状态，因其归海港区国资办管辖，区国资办研究还款计划。</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zh-CN"/>
        </w:rPr>
        <w:t>健全</w:t>
      </w:r>
      <w:r>
        <w:rPr>
          <w:rFonts w:hint="eastAsia" w:ascii="仿宋" w:hAnsi="仿宋" w:eastAsia="仿宋"/>
          <w:sz w:val="32"/>
          <w:szCs w:val="32"/>
        </w:rPr>
        <w:t>国有资产评估管理和国有资产出租管理机制。一是规范租赁合同的签订和租金收取管理制度，为进一步加强国有资产出租管理，规范国有资产出租行为，优化资源配置，提高使用效益,完成原汽贸公司资产出租合同的签订。完成文化路商铺资产出租租金收取工作。二是为维护国有资产出资人合法权益，规范选聘资产评估机构行为，规范国有资产出租行为，先后制定《资产评估机构选聘管理制度》《国有资产出租的管理办法》，进一步优化资源配置，提高国有资产的使用效益。</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继续推进耀华国投公司的注销清算工作。积极与耀华国投公司现登记股东进行接洽、协商耀华国投公司的注销清算事项。现国家国投资产管理公司、中国信达资产管理公司两家股东积极配合耀华国投公司注销清算工作。因耀华国投公司现登记股东之一河北省建投股权已划转给河北省信产投，按照省国资委指示意见，要求河北省建投配合完成耀华国投公司的注销清算工作，并完成河北省建投对接与协商。按照省建投要求，由市国资委出具《授权书》，授权省建投在耀华国投公司注销过程中行使股东权力，并由市国资委承担由此产生的法律后果。9月初，经与耀华国投公司现登记股东协商，确定清算组成员，已在国家企业信息公示系统完成注销登记公告（公告期45天）。</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积极核查、依法</w:t>
      </w:r>
      <w:r>
        <w:rPr>
          <w:rFonts w:hint="eastAsia" w:ascii="仿宋" w:hAnsi="仿宋" w:eastAsia="仿宋"/>
          <w:sz w:val="32"/>
          <w:szCs w:val="32"/>
          <w:lang w:val="zh-CN"/>
        </w:rPr>
        <w:t>处置低效</w:t>
      </w:r>
      <w:r>
        <w:rPr>
          <w:rFonts w:hint="eastAsia" w:ascii="仿宋" w:hAnsi="仿宋" w:eastAsia="仿宋"/>
          <w:sz w:val="32"/>
          <w:szCs w:val="32"/>
        </w:rPr>
        <w:t>闲置资产</w:t>
      </w:r>
      <w:r>
        <w:rPr>
          <w:rFonts w:hint="eastAsia" w:ascii="仿宋" w:hAnsi="仿宋" w:eastAsia="仿宋"/>
          <w:sz w:val="32"/>
          <w:szCs w:val="32"/>
          <w:lang w:val="zh-CN"/>
        </w:rPr>
        <w:t>。</w:t>
      </w:r>
      <w:r>
        <w:rPr>
          <w:rFonts w:hint="eastAsia" w:ascii="仿宋" w:hAnsi="仿宋" w:eastAsia="仿宋"/>
          <w:sz w:val="32"/>
          <w:szCs w:val="32"/>
        </w:rPr>
        <w:t>研究制定资产处置具体意见：对于已在租赁期资产，由产权所属单位负责监督管理，租赁合同到期后，按国有资产管理相关规定进行处置；公司所属自用资产，由产权所属单位负责维护资产安全，确保国有资产保值增值。二是完成了海港区燕秀里37栋1-12号房产评估工作。该房产为我公司监管企业腈纶厂职工住房。接秦皇岛市海港区燕山小区征收办通知，我公司该处房产被纳入征收范围，目前，燕山小区征收办对该处房产评估完毕，待签订补偿协议后，经公司党委会议定，给予拆迁货币补偿。</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不断加强改制企业后续管理及职工服务工作，把为民服务及廉政建设落到实处。</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职工基础服务工作平稳有序运行。一是较好完成了涉及一万多名服务托管职工长期费用、保险费用、一孩化奖励资金费用的申请、缴纳、发放管理工作，完成老工伤入统至趸交费用期间拖欠的128人医药费发放，为746名工伤职工申请待遇报销，完成柳江煤矿560人的工伤查体，并协调劳动局做伤残鉴定。二是为82位离休干部发放长期费用和生活补贴28万元，累计走访慰问、探视住院及祝寿离休老干部162人次，总计发放慰问金6.93万元，为18位离休干部办理药费申请审批报销约38万元，完成2018-2021年度离休干部年终慰问金发放的审批工作。三是按市政府、市委老干部局、市国资委等上级部门部署上收了天津水运公司、河北天成化工公司等两家企业离休干部8名，并申请审发放药费及慰问金6.8万元，解决多年的历史遗留问题，确保老同志各项待遇全面落实。四是对省、市级劳模档案荣誉记载进行全面清查，做好基础统计与待遇落实相关工作。五是全面梳理企业档案，进一步提高档案的查找利用率。六是完成工会会员大病保险上缴，并积极组织募集治疗资金，救助身患重疾的公司职工家属。</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倾力解决涉及职工群众切身利益的“急难”问题。一是完成奥格集团水电暖改造工作的申请，完成秦冶置业有限公司1842户供水改造工程及工程决算审计工作，完成啤酒厂职工房屋漏水资金申请。二是完成文耀里拆迁征收区未交房户的供电线路和电表改造，完成对秦皇岛市钢化玻璃厂家属区、山海关啤酒厂家属区、柳江煤矿家属区进行房屋维修资金申报工作，启动纤维里和先茂里部分栋楼的防水维修工作。三是市委书记朱政学包案的原塑料厂38户平房职工办理产权证有突破性进展，经与开发商多轮协商，同意为职工补交房改差额款约180万元，现已办理产权证20本，其余正在办理中。完成海政里小区职工办理确权手续900余本。为9家改制企业的52名职工办理公有住房房改房不动产登记。四是发放耀华拖欠职工取暖费、公积金、未付经济补偿金利息及职大都是补贴共计金额536.92万元，审核耀华职工房产档案232份,完成组卷98份。五是完成鑫泽冶金和恒业工贸事转企退休职工和遗属协调办理月待遇差、年终一次性生活补贴等各项待遇代办申请审核发放共计110万元。</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加强所属企业留守处财务监管及人员管理，完善对所属改制企业留守处财务状况的监督制度。重点检查山海关留守处和柳江煤矿留守处的财务管理和会计核算情况，对其成立以来的收入、支出状况以及往来款项发生情况进行了梳理和审核，提出了分类核算、规范操作的指导要求，对核算中的会计科目使用、会计账簿设置提出了整改要求，对支出依据不足的项目提出了补附相关依据的要求。</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加强信访稳定与安全生产工作，妥善处理企业改制遗留问题。</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共接待群众来访、来信和网上投诉150件，其中来访20件，省网22件，12345市长热线108件，均做到及时答复和反馈，回复率达100%。第一批集中治理信访化解积案专项工作4件，11月开展第二批集中治理包联案件及重复方案件共计12件。</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及时完成市国资委及上级主管单位要求的各项安全生产文件申报及反馈工作、建立安全生产责任制度及各项应急措方案，对照安全生产目标管理责任书，严格落实安全生产党政同责，一岗双责的规定，将安全生产工作纳入到年度工作计划，成立24小时值班制度，严格落实企业主要领导第一责任人责任，严格落实《突发事件信息接报流程》程序。全面落实安全生产专项整治三年行动。全年组织消防应急演练1次，排查安全隐患28次，发现安全隐患5处，消除隐患5处。加强对所属企业留守处、社区居民楼的排查，加强育红里、桥东北里、柳江煤矿矿直等主要区域安全生产巡查工作。对育红里俱乐部屋顶周围加装普锈钢网，制定屋顶维修施工方案，完成公开招标。为桥东北里三栋单身宿舍楼配备52组灭火器。与市住建局对接，对育红里俱乐部、桥东北里单身宿舍楼、耀中里单身楼、秦皇岛造船厂宿舍楼及奥莱特腈纶单身楼进行细致摸排、测绘勘察，汇总材料已上报市国资委。</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认真统筹安排，做好防疫日常工作。按照上级部门疫情防控工作重要指示精神，强化统筹协调，组织开展全面摸排，不留死角，组织全体员工核酸检测与新冠疫苗接种，建立核酸检测人员每周信息台账，并通过公司工作群等网络宣传方式，加强疫情防控宣传教育。</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完善各项管理机制，提升制度执行力和约束力。</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加强各项管理制度规范化。一是根据市国资委工作部署，修订完善公司章程，修订市工业公司考勤管理制度，印发公司全体实施。二是为使离休干部管理工作进一步制度化、规范化，完善生存认证制度、规范档案查阅制度及巩固联访月报制度。</w:t>
      </w:r>
    </w:p>
    <w:p>
      <w:pPr>
        <w:keepNext w:val="0"/>
        <w:keepLines w:val="0"/>
        <w:pageBreakBefore w:val="0"/>
        <w:numPr>
          <w:ilvl w:val="0"/>
          <w:numId w:val="3"/>
        </w:numPr>
        <w:kinsoku/>
        <w:wordWrap/>
        <w:overflowPunct/>
        <w:topLinePunct w:val="0"/>
        <w:autoSpaceDE/>
        <w:autoSpaceDN/>
        <w:bidi w:val="0"/>
        <w:snapToGrid/>
        <w:spacing w:line="480" w:lineRule="exact"/>
        <w:ind w:firstLine="640" w:firstLineChars="20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财务状况</w:t>
      </w:r>
    </w:p>
    <w:p>
      <w:pPr>
        <w:keepNext w:val="0"/>
        <w:keepLines w:val="0"/>
        <w:pageBreakBefore w:val="0"/>
        <w:kinsoku/>
        <w:wordWrap/>
        <w:overflowPunct/>
        <w:topLinePunct w:val="0"/>
        <w:autoSpaceDE/>
        <w:autoSpaceDN/>
        <w:bidi w:val="0"/>
        <w:snapToGrid/>
        <w:spacing w:line="480" w:lineRule="exact"/>
        <w:ind w:firstLine="645"/>
        <w:textAlignment w:val="auto"/>
        <w:rPr>
          <w:rFonts w:hint="eastAsia" w:ascii="仿宋" w:hAnsi="仿宋" w:eastAsia="仿宋"/>
          <w:sz w:val="32"/>
          <w:szCs w:val="32"/>
        </w:rPr>
      </w:pPr>
      <w:r>
        <w:rPr>
          <w:rFonts w:hint="eastAsia" w:ascii="仿宋" w:hAnsi="仿宋" w:eastAsia="仿宋"/>
          <w:sz w:val="32"/>
          <w:szCs w:val="32"/>
        </w:rPr>
        <w:t xml:space="preserve">2021年底公司资产总量1.85亿元，负债总量0.74亿元，净资产1.11亿元，资产负债率40%，负债率比年初下降12个百分比。较年初，公司资产总量减少0.4亿元，减少17.78 %，负债总量减少0.44，减少37.2%；净资产净增加0.04，增幅3.74%。 </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、薪酬</w:t>
      </w:r>
      <w:r>
        <w:rPr>
          <w:rFonts w:hint="eastAsia" w:ascii="黑体" w:hAnsi="黑体" w:eastAsia="黑体"/>
          <w:sz w:val="32"/>
          <w:szCs w:val="32"/>
          <w:lang w:val="en-US" w:eastAsia="zh-CN"/>
        </w:rPr>
        <w:t>待遇</w:t>
      </w:r>
    </w:p>
    <w:p>
      <w:pPr>
        <w:keepNext w:val="0"/>
        <w:keepLines w:val="0"/>
        <w:pageBreakBefore w:val="0"/>
        <w:kinsoku/>
        <w:wordWrap/>
        <w:overflowPunct/>
        <w:topLinePunct w:val="0"/>
        <w:autoSpaceDE/>
        <w:autoSpaceDN/>
        <w:bidi w:val="0"/>
        <w:snapToGrid/>
        <w:spacing w:line="480" w:lineRule="exact"/>
        <w:ind w:firstLine="640" w:firstLineChars="200"/>
        <w:textAlignment w:val="auto"/>
        <w:rPr>
          <w:rStyle w:val="11"/>
          <w:rFonts w:hint="eastAsia" w:ascii="仿宋" w:hAnsi="仿宋" w:eastAsia="仿宋" w:cs="仿宋"/>
          <w:b w:val="0"/>
          <w:bCs w:val="0"/>
          <w:sz w:val="32"/>
          <w:szCs w:val="32"/>
        </w:rPr>
      </w:pPr>
      <w:r>
        <w:rPr>
          <w:rStyle w:val="11"/>
          <w:rFonts w:hint="eastAsia" w:ascii="仿宋" w:hAnsi="仿宋" w:eastAsia="仿宋" w:cs="仿宋"/>
          <w:b w:val="0"/>
          <w:bCs w:val="0"/>
          <w:sz w:val="32"/>
          <w:szCs w:val="32"/>
        </w:rPr>
        <w:t>企业负责人</w:t>
      </w:r>
      <w:r>
        <w:rPr>
          <w:rStyle w:val="11"/>
          <w:rFonts w:hint="eastAsia" w:ascii="仿宋" w:hAnsi="仿宋" w:eastAsia="仿宋" w:cs="仿宋"/>
          <w:b w:val="0"/>
          <w:bCs w:val="0"/>
          <w:sz w:val="32"/>
          <w:szCs w:val="32"/>
          <w:lang w:val="en-US" w:eastAsia="zh-CN"/>
        </w:rPr>
        <w:t>2021年</w:t>
      </w:r>
      <w:r>
        <w:rPr>
          <w:rStyle w:val="11"/>
          <w:rFonts w:hint="eastAsia" w:ascii="仿宋" w:hAnsi="仿宋" w:eastAsia="仿宋" w:cs="仿宋"/>
          <w:b w:val="0"/>
          <w:bCs w:val="0"/>
          <w:sz w:val="32"/>
          <w:szCs w:val="32"/>
        </w:rPr>
        <w:t>薪酬</w:t>
      </w:r>
      <w:r>
        <w:rPr>
          <w:rStyle w:val="11"/>
          <w:rFonts w:hint="eastAsia" w:ascii="仿宋" w:hAnsi="仿宋" w:eastAsia="仿宋" w:cs="仿宋"/>
          <w:b w:val="0"/>
          <w:bCs w:val="0"/>
          <w:sz w:val="32"/>
          <w:szCs w:val="32"/>
          <w:lang w:val="en-US" w:eastAsia="zh-CN"/>
        </w:rPr>
        <w:t>总额</w:t>
      </w:r>
      <w:r>
        <w:rPr>
          <w:rStyle w:val="11"/>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snapToGrid/>
        <w:spacing w:line="480" w:lineRule="exact"/>
        <w:ind w:firstLine="6432" w:firstLineChars="2010"/>
        <w:textAlignment w:val="auto"/>
        <w:rPr>
          <w:rStyle w:val="11"/>
          <w:rFonts w:hint="eastAsia" w:ascii="仿宋" w:hAnsi="仿宋" w:eastAsia="仿宋" w:cs="仿宋"/>
          <w:b w:val="0"/>
          <w:bCs w:val="0"/>
          <w:sz w:val="32"/>
          <w:szCs w:val="32"/>
        </w:rPr>
      </w:pPr>
      <w:r>
        <w:rPr>
          <w:rStyle w:val="11"/>
          <w:rFonts w:hint="eastAsia" w:ascii="仿宋" w:hAnsi="仿宋" w:eastAsia="仿宋" w:cs="仿宋"/>
          <w:b w:val="0"/>
          <w:bCs w:val="0"/>
          <w:sz w:val="32"/>
          <w:szCs w:val="32"/>
        </w:rPr>
        <w:t>单位（万元）</w:t>
      </w:r>
    </w:p>
    <w:tbl>
      <w:tblPr>
        <w:tblStyle w:val="6"/>
        <w:tblW w:w="8584"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3264"/>
        <w:gridCol w:w="2050"/>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姓名</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职务</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任职时间</w:t>
            </w:r>
          </w:p>
        </w:tc>
        <w:tc>
          <w:tcPr>
            <w:tcW w:w="201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202</w:t>
            </w:r>
            <w:r>
              <w:rPr>
                <w:rStyle w:val="11"/>
                <w:rFonts w:hint="eastAsia" w:ascii="仿宋_GB2312" w:hAnsi="仿宋_GB2312" w:eastAsia="仿宋_GB2312" w:cs="仿宋_GB2312"/>
                <w:bCs/>
                <w:kern w:val="0"/>
                <w:sz w:val="32"/>
                <w:szCs w:val="32"/>
                <w:lang w:val="en-US" w:eastAsia="zh-CN"/>
              </w:rPr>
              <w:t>1</w:t>
            </w:r>
            <w:r>
              <w:rPr>
                <w:rStyle w:val="11"/>
                <w:rFonts w:hint="eastAsia" w:ascii="仿宋_GB2312" w:hAnsi="仿宋_GB2312" w:eastAsia="仿宋_GB2312" w:cs="仿宋_GB2312"/>
                <w:bCs/>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王宝宏</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党委书记、董事长</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2018.01</w:t>
            </w:r>
          </w:p>
        </w:tc>
        <w:tc>
          <w:tcPr>
            <w:tcW w:w="2015" w:type="dxa"/>
            <w:vAlign w:val="center"/>
          </w:tcPr>
          <w:p>
            <w:pPr>
              <w:keepNext w:val="0"/>
              <w:keepLines w:val="0"/>
              <w:widowControl/>
              <w:suppressLineNumbers w:val="0"/>
              <w:jc w:val="center"/>
              <w:textAlignment w:val="center"/>
              <w:rPr>
                <w:rStyle w:val="11"/>
                <w:rFonts w:hint="default" w:ascii="仿宋_GB2312" w:hAnsi="仿宋_GB2312" w:eastAsia="仿宋_GB2312" w:cs="仿宋_GB2312"/>
                <w:bCs/>
                <w:kern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15.37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刘彦君</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党委副书记、总经理</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2015" w:type="dxa"/>
            <w:vAlign w:val="center"/>
          </w:tcPr>
          <w:p>
            <w:pPr>
              <w:keepNext w:val="0"/>
              <w:keepLines w:val="0"/>
              <w:widowControl/>
              <w:suppressLineNumbers w:val="0"/>
              <w:jc w:val="center"/>
              <w:textAlignment w:val="center"/>
              <w:rPr>
                <w:rStyle w:val="11"/>
                <w:rFonts w:hint="default" w:ascii="仿宋_GB2312" w:hAnsi="仿宋_GB2312" w:eastAsia="仿宋_GB2312" w:cs="仿宋_GB2312"/>
                <w:bCs/>
                <w:kern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15.26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陈</w:t>
            </w:r>
            <w:r>
              <w:rPr>
                <w:rStyle w:val="11"/>
                <w:rFonts w:hint="eastAsia" w:ascii="仿宋_GB2312" w:hAnsi="仿宋_GB2312" w:eastAsia="仿宋_GB2312" w:cs="仿宋_GB2312"/>
                <w:bCs/>
                <w:kern w:val="0"/>
                <w:sz w:val="32"/>
                <w:szCs w:val="32"/>
                <w:lang w:val="en-US" w:eastAsia="zh-CN"/>
              </w:rPr>
              <w:t xml:space="preserve">  </w:t>
            </w:r>
            <w:r>
              <w:rPr>
                <w:rStyle w:val="11"/>
                <w:rFonts w:hint="eastAsia" w:ascii="仿宋_GB2312" w:hAnsi="仿宋_GB2312" w:eastAsia="仿宋_GB2312" w:cs="仿宋_GB2312"/>
                <w:bCs/>
                <w:kern w:val="0"/>
                <w:sz w:val="32"/>
                <w:szCs w:val="32"/>
              </w:rPr>
              <w:t>鹰</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党委委员、副总经理</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2015" w:type="dxa"/>
            <w:vAlign w:val="center"/>
          </w:tcPr>
          <w:p>
            <w:pPr>
              <w:keepNext w:val="0"/>
              <w:keepLines w:val="0"/>
              <w:widowControl/>
              <w:suppressLineNumbers w:val="0"/>
              <w:jc w:val="center"/>
              <w:textAlignment w:val="center"/>
              <w:rPr>
                <w:rStyle w:val="11"/>
                <w:rFonts w:hint="default" w:ascii="仿宋_GB2312" w:hAnsi="仿宋_GB2312" w:eastAsia="仿宋_GB2312" w:cs="仿宋_GB2312"/>
                <w:bCs/>
                <w:kern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郝雅民</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党委委员、副总经理</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2018.12</w:t>
            </w:r>
          </w:p>
        </w:tc>
        <w:tc>
          <w:tcPr>
            <w:tcW w:w="2015" w:type="dxa"/>
            <w:vAlign w:val="center"/>
          </w:tcPr>
          <w:p>
            <w:pPr>
              <w:keepNext w:val="0"/>
              <w:keepLines w:val="0"/>
              <w:widowControl/>
              <w:suppressLineNumbers w:val="0"/>
              <w:jc w:val="center"/>
              <w:textAlignment w:val="center"/>
              <w:rPr>
                <w:rStyle w:val="11"/>
                <w:rFonts w:hint="default" w:ascii="仿宋_GB2312" w:hAnsi="仿宋_GB2312" w:eastAsia="仿宋_GB2312" w:cs="仿宋_GB2312"/>
                <w:bCs/>
                <w:kern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13.88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包</w:t>
            </w:r>
            <w:r>
              <w:rPr>
                <w:rStyle w:val="11"/>
                <w:rFonts w:hint="eastAsia" w:ascii="仿宋_GB2312" w:hAnsi="仿宋_GB2312" w:eastAsia="仿宋_GB2312" w:cs="仿宋_GB2312"/>
                <w:bCs/>
                <w:kern w:val="0"/>
                <w:sz w:val="32"/>
                <w:szCs w:val="32"/>
                <w:lang w:val="en-US" w:eastAsia="zh-CN"/>
              </w:rPr>
              <w:t xml:space="preserve">  </w:t>
            </w:r>
            <w:r>
              <w:rPr>
                <w:rStyle w:val="11"/>
                <w:rFonts w:hint="eastAsia" w:ascii="仿宋_GB2312" w:hAnsi="仿宋_GB2312" w:eastAsia="仿宋_GB2312" w:cs="仿宋_GB2312"/>
                <w:bCs/>
                <w:kern w:val="0"/>
                <w:sz w:val="32"/>
                <w:szCs w:val="32"/>
              </w:rPr>
              <w:t>放</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党委委员、副总经理</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2015" w:type="dxa"/>
            <w:vAlign w:val="center"/>
          </w:tcPr>
          <w:p>
            <w:pPr>
              <w:keepNext w:val="0"/>
              <w:keepLines w:val="0"/>
              <w:widowControl/>
              <w:suppressLineNumbers w:val="0"/>
              <w:jc w:val="center"/>
              <w:textAlignment w:val="center"/>
              <w:rPr>
                <w:rStyle w:val="11"/>
                <w:rFonts w:hint="default" w:ascii="仿宋_GB2312" w:hAnsi="仿宋_GB2312" w:eastAsia="仿宋_GB2312" w:cs="仿宋_GB2312"/>
                <w:bCs/>
                <w:kern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刘正莉</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党委委员、总会计师</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2015" w:type="dxa"/>
            <w:vAlign w:val="center"/>
          </w:tcPr>
          <w:p>
            <w:pPr>
              <w:keepNext w:val="0"/>
              <w:keepLines w:val="0"/>
              <w:widowControl/>
              <w:suppressLineNumbers w:val="0"/>
              <w:jc w:val="center"/>
              <w:textAlignment w:val="center"/>
              <w:rPr>
                <w:rStyle w:val="11"/>
                <w:rFonts w:hint="default" w:ascii="仿宋_GB2312" w:hAnsi="仿宋_GB2312" w:eastAsia="仿宋_GB2312" w:cs="仿宋_GB2312"/>
                <w:bCs/>
                <w:kern w:val="0"/>
                <w:sz w:val="32"/>
                <w:szCs w:val="32"/>
                <w:lang w:val="en-US" w:eastAsia="zh-CN"/>
              </w:rPr>
            </w:pPr>
            <w:r>
              <w:rPr>
                <w:rFonts w:hint="eastAsia" w:ascii="宋体" w:hAnsi="宋体" w:eastAsia="宋体" w:cs="宋体"/>
                <w:i w:val="0"/>
                <w:iCs w:val="0"/>
                <w:color w:val="000000"/>
                <w:kern w:val="0"/>
                <w:sz w:val="24"/>
                <w:szCs w:val="24"/>
                <w:u w:val="none"/>
                <w:lang w:val="en-US" w:eastAsia="zh-CN" w:bidi="ar"/>
              </w:rPr>
              <w:t>13.74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方向明</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监事会主席</w:t>
            </w:r>
          </w:p>
        </w:tc>
        <w:tc>
          <w:tcPr>
            <w:tcW w:w="2050"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2021.05</w:t>
            </w:r>
          </w:p>
        </w:tc>
        <w:tc>
          <w:tcPr>
            <w:tcW w:w="20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5.35</w:t>
            </w:r>
          </w:p>
        </w:tc>
      </w:tr>
    </w:tbl>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Style w:val="11"/>
          <w:rFonts w:hint="eastAsia" w:ascii="黑体" w:hAnsi="黑体" w:eastAsia="黑体" w:cs="仿宋_GB2312"/>
          <w:bCs/>
          <w:sz w:val="32"/>
          <w:szCs w:val="32"/>
          <w:lang w:val="en-US" w:eastAsia="zh-CN"/>
        </w:rPr>
      </w:pPr>
      <w:r>
        <w:rPr>
          <w:rStyle w:val="11"/>
          <w:rFonts w:hint="eastAsia" w:ascii="黑体" w:hAnsi="黑体" w:eastAsia="黑体" w:cs="仿宋_GB2312"/>
          <w:bCs/>
          <w:sz w:val="32"/>
          <w:szCs w:val="32"/>
          <w:lang w:val="en-US" w:eastAsia="zh-CN"/>
        </w:rPr>
        <w:t>五、重要人事变动</w:t>
      </w:r>
    </w:p>
    <w:p>
      <w:pPr>
        <w:keepNext w:val="0"/>
        <w:keepLines w:val="0"/>
        <w:pageBreakBefore w:val="0"/>
        <w:numPr>
          <w:ilvl w:val="0"/>
          <w:numId w:val="4"/>
        </w:numPr>
        <w:kinsoku/>
        <w:wordWrap/>
        <w:overflowPunct/>
        <w:topLinePunct w:val="0"/>
        <w:autoSpaceDE/>
        <w:autoSpaceDN/>
        <w:bidi w:val="0"/>
        <w:snapToGrid/>
        <w:spacing w:line="480" w:lineRule="exact"/>
        <w:ind w:leftChars="200"/>
        <w:textAlignment w:val="auto"/>
        <w:rPr>
          <w:rStyle w:val="11"/>
          <w:rFonts w:hint="eastAsia" w:ascii="仿宋" w:hAnsi="仿宋" w:eastAsia="仿宋" w:cs="仿宋"/>
          <w:bCs/>
          <w:sz w:val="32"/>
          <w:szCs w:val="32"/>
          <w:lang w:val="en-US" w:eastAsia="zh-CN"/>
        </w:rPr>
      </w:pPr>
      <w:r>
        <w:rPr>
          <w:rStyle w:val="11"/>
          <w:rFonts w:hint="eastAsia" w:ascii="仿宋" w:hAnsi="仿宋" w:eastAsia="仿宋" w:cs="仿宋"/>
          <w:bCs/>
          <w:sz w:val="32"/>
          <w:szCs w:val="32"/>
          <w:lang w:val="en-US" w:eastAsia="zh-CN"/>
        </w:rPr>
        <w:t>领导职务变动情况。</w:t>
      </w:r>
    </w:p>
    <w:p>
      <w:pPr>
        <w:keepNext w:val="0"/>
        <w:keepLines w:val="0"/>
        <w:pageBreakBefore w:val="0"/>
        <w:numPr>
          <w:ilvl w:val="0"/>
          <w:numId w:val="0"/>
        </w:numPr>
        <w:kinsoku/>
        <w:wordWrap/>
        <w:overflowPunct/>
        <w:topLinePunct w:val="0"/>
        <w:autoSpaceDE/>
        <w:autoSpaceDN/>
        <w:bidi w:val="0"/>
        <w:snapToGrid/>
        <w:spacing w:line="480" w:lineRule="exact"/>
        <w:textAlignment w:val="auto"/>
        <w:rPr>
          <w:rStyle w:val="11"/>
          <w:rFonts w:hint="default" w:ascii="仿宋" w:hAnsi="仿宋" w:cs="仿宋" w:eastAsiaTheme="minorEastAsia"/>
          <w:bCs/>
          <w:sz w:val="32"/>
          <w:szCs w:val="32"/>
          <w:lang w:val="en-US" w:eastAsia="zh-CN"/>
        </w:rPr>
      </w:pPr>
      <w:r>
        <w:rPr>
          <w:rStyle w:val="11"/>
          <w:rFonts w:hint="eastAsia" w:ascii="仿宋" w:hAnsi="仿宋" w:eastAsia="仿宋" w:cs="仿宋"/>
          <w:bCs/>
          <w:sz w:val="32"/>
          <w:szCs w:val="32"/>
          <w:lang w:val="en-US" w:eastAsia="zh-CN"/>
        </w:rPr>
        <w:t xml:space="preserve">    2021年5月任命方向明同志为监事会主席，同时免去景新停的监事会主席职务（</w:t>
      </w:r>
      <w:r>
        <w:rPr>
          <w:rFonts w:hint="eastAsia" w:ascii="宋体" w:hAnsi="宋体"/>
          <w:w w:val="90"/>
          <w:sz w:val="28"/>
          <w:szCs w:val="28"/>
          <w:lang w:val="en-US" w:eastAsia="zh-CN"/>
        </w:rPr>
        <w:t>秦国资党发</w:t>
      </w:r>
      <w:r>
        <w:rPr>
          <w:rFonts w:ascii="宋体" w:hAnsi="宋体"/>
          <w:w w:val="90"/>
          <w:sz w:val="28"/>
          <w:szCs w:val="28"/>
        </w:rPr>
        <w:t>[20</w:t>
      </w:r>
      <w:r>
        <w:rPr>
          <w:rFonts w:hint="eastAsia" w:ascii="宋体" w:hAnsi="宋体"/>
          <w:w w:val="90"/>
          <w:sz w:val="28"/>
          <w:szCs w:val="28"/>
          <w:lang w:val="en-US" w:eastAsia="zh-CN"/>
        </w:rPr>
        <w:t>21</w:t>
      </w:r>
      <w:r>
        <w:rPr>
          <w:rFonts w:ascii="宋体" w:hAnsi="宋体"/>
          <w:w w:val="90"/>
          <w:sz w:val="28"/>
          <w:szCs w:val="28"/>
        </w:rPr>
        <w:t>]</w:t>
      </w:r>
      <w:r>
        <w:rPr>
          <w:rFonts w:hint="eastAsia" w:ascii="宋体" w:hAnsi="宋体"/>
          <w:w w:val="90"/>
          <w:sz w:val="28"/>
          <w:szCs w:val="28"/>
          <w:lang w:val="en-US" w:eastAsia="zh-CN"/>
        </w:rPr>
        <w:t>17</w:t>
      </w:r>
      <w:r>
        <w:rPr>
          <w:rFonts w:hint="eastAsia" w:ascii="宋体" w:hAnsi="宋体"/>
          <w:w w:val="90"/>
          <w:sz w:val="28"/>
          <w:szCs w:val="28"/>
        </w:rPr>
        <w:t>号</w:t>
      </w:r>
      <w:r>
        <w:rPr>
          <w:rFonts w:hint="eastAsia" w:ascii="宋体" w:hAnsi="宋体"/>
          <w:w w:val="90"/>
          <w:sz w:val="28"/>
          <w:szCs w:val="28"/>
          <w:lang w:eastAsia="zh-CN"/>
        </w:rPr>
        <w:t>）。</w:t>
      </w:r>
    </w:p>
    <w:p>
      <w:pPr>
        <w:keepNext w:val="0"/>
        <w:keepLines w:val="0"/>
        <w:pageBreakBefore w:val="0"/>
        <w:numPr>
          <w:ilvl w:val="0"/>
          <w:numId w:val="0"/>
        </w:numPr>
        <w:kinsoku/>
        <w:wordWrap/>
        <w:overflowPunct/>
        <w:topLinePunct w:val="0"/>
        <w:autoSpaceDE/>
        <w:autoSpaceDN/>
        <w:bidi w:val="0"/>
        <w:snapToGrid/>
        <w:spacing w:line="480" w:lineRule="exact"/>
        <w:ind w:leftChars="200"/>
        <w:textAlignment w:val="auto"/>
        <w:rPr>
          <w:rStyle w:val="11"/>
          <w:rFonts w:hint="eastAsia" w:ascii="仿宋" w:hAnsi="仿宋" w:eastAsia="仿宋" w:cs="仿宋"/>
          <w:bCs/>
          <w:sz w:val="32"/>
          <w:szCs w:val="32"/>
          <w:lang w:val="en-US" w:eastAsia="zh-CN"/>
        </w:rPr>
      </w:pPr>
      <w:r>
        <w:rPr>
          <w:rStyle w:val="11"/>
          <w:rFonts w:hint="eastAsia" w:ascii="仿宋" w:hAnsi="仿宋" w:eastAsia="仿宋" w:cs="仿宋"/>
          <w:bCs/>
          <w:sz w:val="32"/>
          <w:szCs w:val="32"/>
          <w:lang w:val="en-US" w:eastAsia="zh-CN"/>
        </w:rPr>
        <w:t>（二）部室负责人职务变动情况。</w:t>
      </w: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Style w:val="11"/>
          <w:rFonts w:hint="default" w:ascii="仿宋" w:hAnsi="仿宋" w:eastAsia="仿宋" w:cs="仿宋_GB2312"/>
          <w:bCs/>
          <w:sz w:val="32"/>
          <w:szCs w:val="32"/>
          <w:lang w:val="en-US" w:eastAsia="zh-CN"/>
        </w:rPr>
      </w:pPr>
      <w:r>
        <w:rPr>
          <w:rStyle w:val="11"/>
          <w:rFonts w:hint="eastAsia" w:ascii="仿宋" w:hAnsi="仿宋" w:eastAsia="仿宋" w:cs="仿宋_GB2312"/>
          <w:bCs/>
          <w:sz w:val="32"/>
          <w:szCs w:val="32"/>
          <w:lang w:val="en-US" w:eastAsia="zh-CN"/>
        </w:rPr>
        <w:t>经公司党委会研究决定任命：吴凡为信访维稳办主任；陈盛毅为柳江煤矿留守处主任；韩天野为纪委副书记；张加迎为3540工作留守处主任；徐磊为资产监管运营部副部长；刘全为企业改革与规划发展部副部长；李成为信访维稳办副主任；杨艳宾为离休干部和劳资部副部长；尹洪超为柳江煤矿留守处副主任；刘胜龙为耀华留守处副主任；贺志超为职工服务中心副主任。免去：秦宝侠纪委副书记职务、陈盛毅信访维稳办主任职务、曾源柳江煤矿留守处主任职务。</w:t>
      </w:r>
    </w:p>
    <w:p>
      <w:pPr>
        <w:keepNext w:val="0"/>
        <w:keepLines w:val="0"/>
        <w:pageBreakBefore w:val="0"/>
        <w:numPr>
          <w:ilvl w:val="0"/>
          <w:numId w:val="0"/>
        </w:numPr>
        <w:kinsoku/>
        <w:wordWrap/>
        <w:overflowPunct/>
        <w:topLinePunct w:val="0"/>
        <w:autoSpaceDE/>
        <w:autoSpaceDN/>
        <w:bidi w:val="0"/>
        <w:snapToGrid/>
        <w:spacing w:line="480" w:lineRule="exact"/>
        <w:ind w:leftChars="200" w:firstLine="320" w:firstLineChars="100"/>
        <w:textAlignment w:val="auto"/>
        <w:rPr>
          <w:rStyle w:val="11"/>
          <w:rFonts w:hint="eastAsia" w:ascii="黑体" w:hAnsi="黑体" w:eastAsia="黑体" w:cs="黑体"/>
          <w:bCs/>
          <w:sz w:val="32"/>
          <w:szCs w:val="32"/>
          <w:lang w:val="en-US" w:eastAsia="zh-CN"/>
        </w:rPr>
      </w:pPr>
      <w:r>
        <w:rPr>
          <w:rStyle w:val="11"/>
          <w:rFonts w:hint="eastAsia" w:ascii="黑体" w:hAnsi="黑体" w:eastAsia="黑体" w:cs="黑体"/>
          <w:bCs/>
          <w:sz w:val="32"/>
          <w:szCs w:val="32"/>
          <w:lang w:val="en-US" w:eastAsia="zh-CN"/>
        </w:rPr>
        <w:t>六、重大事项</w:t>
      </w:r>
    </w:p>
    <w:p>
      <w:pPr>
        <w:keepNext w:val="0"/>
        <w:keepLines w:val="0"/>
        <w:pageBreakBefore w:val="0"/>
        <w:numPr>
          <w:ilvl w:val="0"/>
          <w:numId w:val="5"/>
        </w:numPr>
        <w:kinsoku/>
        <w:wordWrap/>
        <w:overflowPunct/>
        <w:topLinePunct w:val="0"/>
        <w:autoSpaceDE/>
        <w:autoSpaceDN/>
        <w:bidi w:val="0"/>
        <w:snapToGrid/>
        <w:spacing w:line="480" w:lineRule="exact"/>
        <w:ind w:leftChars="200"/>
        <w:textAlignment w:val="auto"/>
        <w:rPr>
          <w:rFonts w:ascii="仿宋" w:hAnsi="仿宋" w:eastAsia="仿宋"/>
          <w:sz w:val="30"/>
          <w:szCs w:val="30"/>
        </w:rPr>
      </w:pPr>
      <w:r>
        <w:rPr>
          <w:rStyle w:val="11"/>
          <w:rFonts w:hint="eastAsia" w:ascii="仿宋" w:hAnsi="仿宋" w:eastAsia="仿宋" w:cs="仿宋_GB2312"/>
          <w:bCs/>
          <w:sz w:val="32"/>
          <w:szCs w:val="32"/>
          <w:lang w:val="en-US" w:eastAsia="zh-CN"/>
        </w:rPr>
        <w:t>改制重组情况。无。</w:t>
      </w:r>
    </w:p>
    <w:p>
      <w:pPr>
        <w:keepNext w:val="0"/>
        <w:keepLines w:val="0"/>
        <w:pageBreakBefore w:val="0"/>
        <w:numPr>
          <w:ilvl w:val="0"/>
          <w:numId w:val="5"/>
        </w:numPr>
        <w:kinsoku/>
        <w:wordWrap/>
        <w:overflowPunct/>
        <w:topLinePunct w:val="0"/>
        <w:autoSpaceDE/>
        <w:autoSpaceDN/>
        <w:bidi w:val="0"/>
        <w:snapToGrid/>
        <w:spacing w:line="480" w:lineRule="exact"/>
        <w:ind w:left="0" w:leftChars="0" w:firstLine="419" w:firstLineChars="131"/>
        <w:textAlignment w:val="auto"/>
        <w:rPr>
          <w:rStyle w:val="11"/>
          <w:rFonts w:hint="default" w:ascii="仿宋" w:hAnsi="仿宋" w:eastAsia="仿宋" w:cs="仿宋_GB2312"/>
          <w:bCs/>
          <w:sz w:val="32"/>
          <w:szCs w:val="32"/>
          <w:lang w:val="en-US" w:eastAsia="zh-CN"/>
        </w:rPr>
      </w:pPr>
      <w:r>
        <w:rPr>
          <w:rStyle w:val="11"/>
          <w:rFonts w:hint="eastAsia" w:ascii="仿宋" w:hAnsi="仿宋" w:eastAsia="仿宋" w:cs="仿宋_GB2312"/>
          <w:bCs/>
          <w:sz w:val="32"/>
          <w:szCs w:val="32"/>
          <w:lang w:val="en-US" w:eastAsia="zh-CN"/>
        </w:rPr>
        <w:t>产权转让和增资情况。</w:t>
      </w:r>
      <w:r>
        <w:rPr>
          <w:rFonts w:hint="eastAsia" w:ascii="仿宋" w:hAnsi="仿宋" w:eastAsia="仿宋"/>
          <w:sz w:val="30"/>
          <w:szCs w:val="30"/>
        </w:rPr>
        <w:t>通过人民法院诉讼资产网网络司法拍卖平台,成功拍下秦皇岛经济技术开发区嵩山路7号、9号部分房产及土地使用权，竞拍费用共计1756.74万元。</w:t>
      </w:r>
    </w:p>
    <w:p>
      <w:pPr>
        <w:keepNext w:val="0"/>
        <w:keepLines w:val="0"/>
        <w:pageBreakBefore w:val="0"/>
        <w:numPr>
          <w:ilvl w:val="0"/>
          <w:numId w:val="5"/>
        </w:numPr>
        <w:kinsoku/>
        <w:wordWrap/>
        <w:overflowPunct/>
        <w:topLinePunct w:val="0"/>
        <w:autoSpaceDE/>
        <w:autoSpaceDN/>
        <w:bidi w:val="0"/>
        <w:snapToGrid/>
        <w:spacing w:line="480" w:lineRule="exact"/>
        <w:ind w:leftChars="200"/>
        <w:textAlignment w:val="auto"/>
        <w:rPr>
          <w:rStyle w:val="11"/>
          <w:rFonts w:hint="default" w:ascii="仿宋" w:hAnsi="仿宋" w:eastAsia="仿宋" w:cs="仿宋_GB2312"/>
          <w:bCs/>
          <w:sz w:val="32"/>
          <w:szCs w:val="32"/>
          <w:lang w:val="en-US" w:eastAsia="zh-CN"/>
        </w:rPr>
      </w:pPr>
      <w:r>
        <w:rPr>
          <w:rStyle w:val="11"/>
          <w:rFonts w:hint="eastAsia" w:ascii="仿宋" w:hAnsi="仿宋" w:eastAsia="仿宋" w:cs="仿宋_GB2312"/>
          <w:bCs/>
          <w:sz w:val="32"/>
          <w:szCs w:val="32"/>
          <w:lang w:val="en-US" w:eastAsia="zh-CN"/>
        </w:rPr>
        <w:t>重大突发事件。无。</w:t>
      </w:r>
    </w:p>
    <w:p>
      <w:pPr>
        <w:keepNext w:val="0"/>
        <w:keepLines w:val="0"/>
        <w:pageBreakBefore w:val="0"/>
        <w:numPr>
          <w:ilvl w:val="0"/>
          <w:numId w:val="5"/>
        </w:numPr>
        <w:kinsoku/>
        <w:wordWrap/>
        <w:overflowPunct/>
        <w:topLinePunct w:val="0"/>
        <w:autoSpaceDE/>
        <w:autoSpaceDN/>
        <w:bidi w:val="0"/>
        <w:snapToGrid/>
        <w:spacing w:line="480" w:lineRule="exact"/>
        <w:ind w:leftChars="200"/>
        <w:textAlignment w:val="auto"/>
        <w:rPr>
          <w:rStyle w:val="11"/>
          <w:rFonts w:hint="default" w:ascii="仿宋" w:hAnsi="仿宋" w:eastAsia="仿宋" w:cs="仿宋_GB2312"/>
          <w:bCs/>
          <w:sz w:val="32"/>
          <w:szCs w:val="32"/>
          <w:lang w:val="en-US" w:eastAsia="zh-CN"/>
        </w:rPr>
      </w:pPr>
      <w:r>
        <w:rPr>
          <w:rStyle w:val="11"/>
          <w:rFonts w:hint="eastAsia" w:ascii="仿宋" w:hAnsi="仿宋" w:eastAsia="仿宋" w:cs="仿宋_GB2312"/>
          <w:bCs/>
          <w:sz w:val="32"/>
          <w:szCs w:val="32"/>
          <w:lang w:val="en-US" w:eastAsia="zh-CN"/>
        </w:rPr>
        <w:t>涉及监督检查问题整改情况。无。</w:t>
      </w:r>
    </w:p>
    <w:p>
      <w:pPr>
        <w:keepNext w:val="0"/>
        <w:keepLines w:val="0"/>
        <w:pageBreakBefore w:val="0"/>
        <w:numPr>
          <w:ilvl w:val="0"/>
          <w:numId w:val="6"/>
        </w:numPr>
        <w:kinsoku/>
        <w:wordWrap/>
        <w:overflowPunct/>
        <w:topLinePunct w:val="0"/>
        <w:autoSpaceDE/>
        <w:autoSpaceDN/>
        <w:bidi w:val="0"/>
        <w:snapToGrid/>
        <w:spacing w:line="48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员工招聘。无。</w:t>
      </w:r>
    </w:p>
    <w:p>
      <w:pPr>
        <w:keepNext w:val="0"/>
        <w:keepLines w:val="0"/>
        <w:pageBreakBefore w:val="0"/>
        <w:numPr>
          <w:ilvl w:val="0"/>
          <w:numId w:val="6"/>
        </w:numPr>
        <w:kinsoku/>
        <w:wordWrap/>
        <w:overflowPunct/>
        <w:topLinePunct w:val="0"/>
        <w:autoSpaceDE/>
        <w:autoSpaceDN/>
        <w:bidi w:val="0"/>
        <w:snapToGrid/>
        <w:spacing w:line="480" w:lineRule="exact"/>
        <w:ind w:left="0" w:leftChars="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社会责任</w:t>
      </w: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Style w:val="11"/>
          <w:rFonts w:hint="eastAsia" w:ascii="仿宋" w:hAnsi="仿宋" w:eastAsia="仿宋" w:cs="仿宋_GB2312"/>
          <w:bCs/>
          <w:kern w:val="2"/>
          <w:sz w:val="32"/>
          <w:szCs w:val="32"/>
          <w:lang w:val="en-US" w:eastAsia="zh-CN" w:bidi="ar-SA"/>
        </w:rPr>
      </w:pPr>
      <w:r>
        <w:rPr>
          <w:rStyle w:val="11"/>
          <w:rFonts w:hint="eastAsia" w:ascii="仿宋" w:hAnsi="仿宋" w:eastAsia="仿宋" w:cs="仿宋_GB2312"/>
          <w:bCs/>
          <w:sz w:val="32"/>
          <w:szCs w:val="32"/>
          <w:lang w:val="en-US" w:eastAsia="zh-CN"/>
        </w:rPr>
        <w:t>坚持精准施策，全力脱贫攻坚。坚持精准施策，助力脱贫攻坚。28名干部职工与青龙县土门子镇东蒿村26名贫困户结对子，定期到家中走访探望，及时掌握基本情况，送去米面油等生活必需品，为青龙县土门子镇东蒿村小学捐赠价值8000元的图书和学习用品。</w:t>
      </w:r>
      <w:r>
        <w:rPr>
          <w:rStyle w:val="11"/>
          <w:rFonts w:hint="eastAsia" w:ascii="仿宋" w:hAnsi="仿宋" w:eastAsia="仿宋" w:cs="仿宋_GB2312"/>
          <w:bCs/>
          <w:kern w:val="2"/>
          <w:sz w:val="32"/>
          <w:szCs w:val="32"/>
          <w:lang w:val="en-US" w:eastAsia="zh-CN" w:bidi="ar-SA"/>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6503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F5E66"/>
    <w:multiLevelType w:val="singleLevel"/>
    <w:tmpl w:val="817F5E66"/>
    <w:lvl w:ilvl="0" w:tentative="0">
      <w:start w:val="1"/>
      <w:numFmt w:val="chineseCounting"/>
      <w:suff w:val="nothing"/>
      <w:lvlText w:val="（%1）"/>
      <w:lvlJc w:val="left"/>
      <w:rPr>
        <w:rFonts w:hint="eastAsia"/>
      </w:rPr>
    </w:lvl>
  </w:abstractNum>
  <w:abstractNum w:abstractNumId="1">
    <w:nsid w:val="9AA9F002"/>
    <w:multiLevelType w:val="singleLevel"/>
    <w:tmpl w:val="9AA9F002"/>
    <w:lvl w:ilvl="0" w:tentative="0">
      <w:start w:val="2"/>
      <w:numFmt w:val="chineseCounting"/>
      <w:suff w:val="nothing"/>
      <w:lvlText w:val="（%1）"/>
      <w:lvlJc w:val="left"/>
      <w:rPr>
        <w:rFonts w:hint="eastAsia"/>
      </w:rPr>
    </w:lvl>
  </w:abstractNum>
  <w:abstractNum w:abstractNumId="2">
    <w:nsid w:val="D75B3923"/>
    <w:multiLevelType w:val="singleLevel"/>
    <w:tmpl w:val="D75B3923"/>
    <w:lvl w:ilvl="0" w:tentative="0">
      <w:start w:val="3"/>
      <w:numFmt w:val="chineseCounting"/>
      <w:suff w:val="nothing"/>
      <w:lvlText w:val="（%1）"/>
      <w:lvlJc w:val="left"/>
      <w:rPr>
        <w:rFonts w:hint="eastAsia"/>
      </w:rPr>
    </w:lvl>
  </w:abstractNum>
  <w:abstractNum w:abstractNumId="3">
    <w:nsid w:val="F988EC1B"/>
    <w:multiLevelType w:val="singleLevel"/>
    <w:tmpl w:val="F988EC1B"/>
    <w:lvl w:ilvl="0" w:tentative="0">
      <w:start w:val="1"/>
      <w:numFmt w:val="chineseCounting"/>
      <w:suff w:val="nothing"/>
      <w:lvlText w:val="（%1）"/>
      <w:lvlJc w:val="left"/>
      <w:rPr>
        <w:rFonts w:hint="eastAsia"/>
      </w:rPr>
    </w:lvl>
  </w:abstractNum>
  <w:abstractNum w:abstractNumId="4">
    <w:nsid w:val="09343291"/>
    <w:multiLevelType w:val="singleLevel"/>
    <w:tmpl w:val="09343291"/>
    <w:lvl w:ilvl="0" w:tentative="0">
      <w:start w:val="3"/>
      <w:numFmt w:val="chineseCounting"/>
      <w:suff w:val="nothing"/>
      <w:lvlText w:val="%1、"/>
      <w:lvlJc w:val="left"/>
      <w:rPr>
        <w:rFonts w:hint="eastAsia"/>
      </w:rPr>
    </w:lvl>
  </w:abstractNum>
  <w:abstractNum w:abstractNumId="5">
    <w:nsid w:val="64A9F9FC"/>
    <w:multiLevelType w:val="singleLevel"/>
    <w:tmpl w:val="64A9F9FC"/>
    <w:lvl w:ilvl="0" w:tentative="0">
      <w:start w:val="7"/>
      <w:numFmt w:val="chineseCounting"/>
      <w:suff w:val="nothing"/>
      <w:lvlText w:val="%1、"/>
      <w:lvlJc w:val="left"/>
      <w:rPr>
        <w:rFonts w:hint="eastAsia"/>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7"/>
    <w:rsid w:val="0001102B"/>
    <w:rsid w:val="00041AAF"/>
    <w:rsid w:val="00042B0C"/>
    <w:rsid w:val="00043B4E"/>
    <w:rsid w:val="00045161"/>
    <w:rsid w:val="00045982"/>
    <w:rsid w:val="000603DB"/>
    <w:rsid w:val="00081AB2"/>
    <w:rsid w:val="000B71E3"/>
    <w:rsid w:val="000C0738"/>
    <w:rsid w:val="000F788A"/>
    <w:rsid w:val="0013224E"/>
    <w:rsid w:val="00165F67"/>
    <w:rsid w:val="001831DA"/>
    <w:rsid w:val="001C3577"/>
    <w:rsid w:val="001D2F59"/>
    <w:rsid w:val="001D7138"/>
    <w:rsid w:val="001F3493"/>
    <w:rsid w:val="00246EA5"/>
    <w:rsid w:val="00260B50"/>
    <w:rsid w:val="002732B1"/>
    <w:rsid w:val="002845AC"/>
    <w:rsid w:val="00284CD0"/>
    <w:rsid w:val="00284EF6"/>
    <w:rsid w:val="00291AE4"/>
    <w:rsid w:val="00292CFC"/>
    <w:rsid w:val="00292E68"/>
    <w:rsid w:val="002B1654"/>
    <w:rsid w:val="002E47C3"/>
    <w:rsid w:val="002E76CD"/>
    <w:rsid w:val="002E7F43"/>
    <w:rsid w:val="002F408A"/>
    <w:rsid w:val="002F6113"/>
    <w:rsid w:val="00303D91"/>
    <w:rsid w:val="00305E24"/>
    <w:rsid w:val="0031083C"/>
    <w:rsid w:val="00376437"/>
    <w:rsid w:val="00394668"/>
    <w:rsid w:val="003B4C2F"/>
    <w:rsid w:val="003D7878"/>
    <w:rsid w:val="003F3BDD"/>
    <w:rsid w:val="00402030"/>
    <w:rsid w:val="00403A20"/>
    <w:rsid w:val="00407E2D"/>
    <w:rsid w:val="004107DA"/>
    <w:rsid w:val="0042124E"/>
    <w:rsid w:val="0042717E"/>
    <w:rsid w:val="00427568"/>
    <w:rsid w:val="0043473E"/>
    <w:rsid w:val="00443E6D"/>
    <w:rsid w:val="00446B44"/>
    <w:rsid w:val="004946E2"/>
    <w:rsid w:val="00494BEF"/>
    <w:rsid w:val="004A6125"/>
    <w:rsid w:val="004C3D04"/>
    <w:rsid w:val="00522EFF"/>
    <w:rsid w:val="0053559A"/>
    <w:rsid w:val="00536321"/>
    <w:rsid w:val="00563E89"/>
    <w:rsid w:val="0057387D"/>
    <w:rsid w:val="00586DB9"/>
    <w:rsid w:val="005A4351"/>
    <w:rsid w:val="005D7E37"/>
    <w:rsid w:val="005E4D5B"/>
    <w:rsid w:val="005E65B0"/>
    <w:rsid w:val="00603E08"/>
    <w:rsid w:val="00622C50"/>
    <w:rsid w:val="00633F36"/>
    <w:rsid w:val="00643995"/>
    <w:rsid w:val="00646A36"/>
    <w:rsid w:val="00662E4C"/>
    <w:rsid w:val="00671F37"/>
    <w:rsid w:val="00676206"/>
    <w:rsid w:val="00681EE0"/>
    <w:rsid w:val="006A4BBB"/>
    <w:rsid w:val="006C442D"/>
    <w:rsid w:val="006E6187"/>
    <w:rsid w:val="006E7A7F"/>
    <w:rsid w:val="00705F06"/>
    <w:rsid w:val="00712E6F"/>
    <w:rsid w:val="0072401A"/>
    <w:rsid w:val="00733F9A"/>
    <w:rsid w:val="00772EE8"/>
    <w:rsid w:val="00785329"/>
    <w:rsid w:val="007C4CD6"/>
    <w:rsid w:val="00811101"/>
    <w:rsid w:val="00845D22"/>
    <w:rsid w:val="0084779D"/>
    <w:rsid w:val="00861E6E"/>
    <w:rsid w:val="0088381C"/>
    <w:rsid w:val="0088684D"/>
    <w:rsid w:val="00891EF5"/>
    <w:rsid w:val="008C540A"/>
    <w:rsid w:val="008D0764"/>
    <w:rsid w:val="008E67FD"/>
    <w:rsid w:val="009056F0"/>
    <w:rsid w:val="00922B0C"/>
    <w:rsid w:val="009316DA"/>
    <w:rsid w:val="00941434"/>
    <w:rsid w:val="0094246F"/>
    <w:rsid w:val="009472FE"/>
    <w:rsid w:val="00955E6A"/>
    <w:rsid w:val="009564A6"/>
    <w:rsid w:val="00957022"/>
    <w:rsid w:val="00967734"/>
    <w:rsid w:val="009707FD"/>
    <w:rsid w:val="00985BC9"/>
    <w:rsid w:val="00995C7C"/>
    <w:rsid w:val="009C3172"/>
    <w:rsid w:val="009C47A0"/>
    <w:rsid w:val="009D5F08"/>
    <w:rsid w:val="009E42EE"/>
    <w:rsid w:val="009E6FFF"/>
    <w:rsid w:val="009F6DC6"/>
    <w:rsid w:val="00A06FFF"/>
    <w:rsid w:val="00A2454C"/>
    <w:rsid w:val="00A25BBB"/>
    <w:rsid w:val="00A54C39"/>
    <w:rsid w:val="00A622AD"/>
    <w:rsid w:val="00A72D25"/>
    <w:rsid w:val="00A81C33"/>
    <w:rsid w:val="00AD2804"/>
    <w:rsid w:val="00AD34C1"/>
    <w:rsid w:val="00AF59EA"/>
    <w:rsid w:val="00AF6AE3"/>
    <w:rsid w:val="00B107C4"/>
    <w:rsid w:val="00B130F0"/>
    <w:rsid w:val="00B14D16"/>
    <w:rsid w:val="00B20D87"/>
    <w:rsid w:val="00B40CFA"/>
    <w:rsid w:val="00B572C2"/>
    <w:rsid w:val="00B74140"/>
    <w:rsid w:val="00B80E17"/>
    <w:rsid w:val="00B9129A"/>
    <w:rsid w:val="00B95331"/>
    <w:rsid w:val="00B971D6"/>
    <w:rsid w:val="00BC11E0"/>
    <w:rsid w:val="00BC14D8"/>
    <w:rsid w:val="00BC3BEF"/>
    <w:rsid w:val="00BD0E50"/>
    <w:rsid w:val="00BF5D48"/>
    <w:rsid w:val="00C05A62"/>
    <w:rsid w:val="00C07290"/>
    <w:rsid w:val="00C322DB"/>
    <w:rsid w:val="00C93E03"/>
    <w:rsid w:val="00CA4E14"/>
    <w:rsid w:val="00CB6457"/>
    <w:rsid w:val="00CB69B0"/>
    <w:rsid w:val="00CB69C9"/>
    <w:rsid w:val="00CF230B"/>
    <w:rsid w:val="00D1541E"/>
    <w:rsid w:val="00D32D4B"/>
    <w:rsid w:val="00D47BC5"/>
    <w:rsid w:val="00D70C3F"/>
    <w:rsid w:val="00D72365"/>
    <w:rsid w:val="00D810DD"/>
    <w:rsid w:val="00D817C1"/>
    <w:rsid w:val="00D84FFB"/>
    <w:rsid w:val="00DA072C"/>
    <w:rsid w:val="00DE479C"/>
    <w:rsid w:val="00E13D3A"/>
    <w:rsid w:val="00E24F36"/>
    <w:rsid w:val="00E3442D"/>
    <w:rsid w:val="00E81610"/>
    <w:rsid w:val="00E8302E"/>
    <w:rsid w:val="00EB0ACA"/>
    <w:rsid w:val="00EE0FE0"/>
    <w:rsid w:val="00F05F9A"/>
    <w:rsid w:val="00F2665B"/>
    <w:rsid w:val="00FC5AAD"/>
    <w:rsid w:val="00FD4862"/>
    <w:rsid w:val="015C0DDB"/>
    <w:rsid w:val="040F5E3D"/>
    <w:rsid w:val="15F51412"/>
    <w:rsid w:val="20FC1BC5"/>
    <w:rsid w:val="25B52667"/>
    <w:rsid w:val="2A915858"/>
    <w:rsid w:val="2BCF0622"/>
    <w:rsid w:val="2EE61AE3"/>
    <w:rsid w:val="32145C37"/>
    <w:rsid w:val="3B9B5D2E"/>
    <w:rsid w:val="3D253EC9"/>
    <w:rsid w:val="3FBDF59E"/>
    <w:rsid w:val="45120AE5"/>
    <w:rsid w:val="47AA745C"/>
    <w:rsid w:val="48177CEA"/>
    <w:rsid w:val="495071F3"/>
    <w:rsid w:val="4E54216E"/>
    <w:rsid w:val="4E970D0E"/>
    <w:rsid w:val="4F736911"/>
    <w:rsid w:val="50057FEF"/>
    <w:rsid w:val="568850AA"/>
    <w:rsid w:val="5858468A"/>
    <w:rsid w:val="590D06F5"/>
    <w:rsid w:val="5C3E48CE"/>
    <w:rsid w:val="66CF155C"/>
    <w:rsid w:val="67257597"/>
    <w:rsid w:val="673E6EE7"/>
    <w:rsid w:val="700D6D47"/>
    <w:rsid w:val="70F97835"/>
    <w:rsid w:val="72C434FA"/>
    <w:rsid w:val="DF7F0D73"/>
    <w:rsid w:val="DFDB4B48"/>
    <w:rsid w:val="FEFB8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NormalCharacter"/>
    <w:semiHidden/>
    <w:qFormat/>
    <w:uiPriority w:val="0"/>
  </w:style>
  <w:style w:type="paragraph" w:styleId="12">
    <w:name w:val="List Paragraph"/>
    <w:basedOn w:val="1"/>
    <w:qFormat/>
    <w:uiPriority w:val="34"/>
    <w:pPr>
      <w:ind w:firstLine="420" w:firstLineChars="200"/>
    </w:p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659</Words>
  <Characters>3761</Characters>
  <Lines>31</Lines>
  <Paragraphs>8</Paragraphs>
  <TotalTime>0</TotalTime>
  <ScaleCrop>false</ScaleCrop>
  <LinksUpToDate>false</LinksUpToDate>
  <CharactersWithSpaces>4412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2021-11-17T23:31:00Z</dcterms:created>
  <dc:creator>Micorosoft</dc:creator>
  <cp:lastModifiedBy>administrator</cp:lastModifiedBy>
  <cp:lastPrinted>2022-05-08T18:15:00Z</cp:lastPrinted>
  <dcterms:modified xsi:type="dcterms:W3CDTF">2024-01-05T09:15:00Z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E0438DDFD01A430B84BDCC2C4F156BA7</vt:lpwstr>
  </property>
</Properties>
</file>